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955801a90346e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13594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TOMAŠA GORIČANCA MALA SUBOTICA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2.660.964,75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2.910.950,25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2.634.672,72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2.984.566,00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73.615,75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21.490,73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75.319,45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21.490,73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75.319,45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350,5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148.935,20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razdoblju od 1. siječnja do 31. prosinca 2025.  prihodi poslovanja iznose 2.910.950,25 €. Najznačajnije povećanje prihoda ostvareno je od prihoda po posebnim propisima (sufinanciranje roditelja za produženi boravak) i od prihoda iz nadležnog proračuna. Iz nadležnog proračuna, tj. Županije, prihodi su veći zbog evidentiranja prihoda za EU projekt "Škole jednakih mogućnosti" i prihoda za financiranje rashoda za nabavu nefinancijske imovine. Najznačajnije smanjenje prihoda bilježi se na prihodima od donacija a nisu ostvareni  tekući prihod od tijela i institucija EU  (Erasmus projekt) i tekuće pomoći temeljem prijenosa EU sredstava.  Ostvareni rashodi poslovanja iznose 2.984.566 eura. Najznačajnije  povećanje rashoda odnosi se na rashode za zaposlene uslijed povećanja osnovice za obračun plaća i zbog ukidanja podskupine 193 Kontinuirani rashodi budućih razdoblja te je umjesto rashoda za 12 plaća evidentiran rashod za 13 plaća. Najznačajnije povećanje rashoda u postotku čine rashodi za nabavu službene, radne i zaštitne odjeće i obuće. Nabavljena radna obuća i odjeća za tehničko osoblje škole. Najznačajnije smanjenje rashoda bilježi stavka stručno usavršavanje zaposlenika. Smanjenje rashoda vezano je uz Erasmus projekte koji su završeni u prethodnom razdoblju. U izvještajnom razdoblju nema evidentiranih prihoda od prodaje nefinancijske imovine a nabava se pokriva kapitalnim prihodima. Rashodi za nabavu nefinancijske imovine iznose 75.319,45 €. Najveći udio rashoda  čine rashodi za dogradnju i rekonstrukciju škole.  U navedenom razdoblju nije bilo ostvarenih primitaka i izdataka od financijske imovine i zaduživanja.  U razdoblju od 1. siječnja do 31. prosinca  ostvaren je manjak prihoda poslovanja u iznosu 73.615,75 € i manjak prihoda od nefinancijske imovine u iznosu 75.319,45 €, slijedom čega je na kraju izvještajnog razdoblja ostvaren ukupna manjak prihoda i primitaka u iznosu od 148.935,20 €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od institucija i tijela EU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9.312,00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prethodnom razdoblju ostvareni su prihodi po Erasmus projektu od inozemne škole. Kako je projekt priveden kraju u izvještajnom razdoblju nema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17.058,85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13.553,26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79,5</w:t>
            </w:r>
          </w:p>
        </w:tc>
      </w:tr>
    </w:tbl>
    <w:p>
      <w:pPr>
        <w:spacing w:before="0" w:after="0"/>
      </w:pPr>
    </w:p>
    <w:p>
      <w:r>
        <w:t xml:space="preserve">U izvještajnom razdoblju ukupni prihodi manji su za 3.505,59 €. Bilježi se smanjenje kapitalnih pomoći iz općinskog proračuna. Prihodi su ostvareni prema planu i mijenjaju se prema potrebama škole te mogućnostima općine.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38.298,88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prethodnom razdoblju ostvareni su prihodi po projektu "Škole jednakih mogućnosti" čiji nositelj je Županija. U izvještajnom razdoblju prihodi za pomoćnike u nastavi bilježe se na računima 6711 Prihodi iz nadležnog proračuna prema uputi Županije.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14.931,60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19.892,00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133,2</w:t>
            </w:r>
          </w:p>
        </w:tc>
      </w:tr>
    </w:tbl>
    <w:p>
      <w:pPr>
        <w:spacing w:before="0" w:after="0"/>
      </w:pPr>
    </w:p>
    <w:p>
      <w:r>
        <w:t xml:space="preserve">U izvještajnom razdoblju ukupni prihodi veći su za 4.960,40 €. Bilježi se rast prihoda po posebnim propisima u dijelu sufinanciranja roditelja za  produženi boravak učenika. Produženi boravak se u prethodnom razdoblju provodio tek od rujna 2024. dok se u izvještajnom razdoblju provodio cijelu godinu.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1.072,14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42,0</w:t>
            </w:r>
          </w:p>
        </w:tc>
      </w:tr>
    </w:tbl>
    <w:p>
      <w:pPr>
        <w:spacing w:before="0" w:after="0"/>
      </w:pPr>
    </w:p>
    <w:p>
      <w:r>
        <w:t xml:space="preserve">U izvještajnom razdoblju ostvarena je donacija Nacionalne zaklade za razvoj civilnog društva za provedbu programa "sCOOLFOOD".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125.532,77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185.363,37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147,7</w:t>
            </w:r>
          </w:p>
        </w:tc>
      </w:tr>
    </w:tbl>
    <w:p>
      <w:pPr>
        <w:spacing w:before="0" w:after="0"/>
      </w:pPr>
    </w:p>
    <w:p>
      <w:r>
        <w:t xml:space="preserve">U izvještajnom razdoblju ukupni prihodi veći su za 59.830,30 €. Do povećanja prihoda došlo je zbog novih uputa o računovodstvenom evidentiranju prihoda za EU projekt "Škole jednakih mogućnosti". Priznati su prihodi u visini 50.826.,35 eura.  Za 4.000 eura povećana su i sredstva za materijalne rashode  i ostvaren je prihod za troškove dogradnje škole iz 2024. godine.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4.431,88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60.456,25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1364,1</w:t>
            </w:r>
          </w:p>
        </w:tc>
      </w:tr>
    </w:tbl>
    <w:p>
      <w:pPr>
        <w:spacing w:before="0" w:after="0"/>
      </w:pPr>
    </w:p>
    <w:p>
      <w:r>
        <w:t xml:space="preserve">U izvještajnom razdoblju ukupni prihodi veći su za 56.024,37 €. U povećanju prihoda za nabavu dugotrajne imovine najveću stavku čini prihod za glavni projekt dogradnje škole u iznosu 48.500,00 eura. Kapitalni prihodi ostvareni su i za opremanje učionice namještajem i ulaganje u tehničko i sigurnosno opremanje škole.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1.809.026,95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2.065.953,77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256.926,82 €. Povećanje rashoda odnosi se najvećim dijelom na priznavanje 13 rashoda za plaće zbog ukidanja podskupine 193 Kontinuirani rashodi budućih razdoblja u 2025. godini. Povećanje se odnosi i na rast osnovice za obračun plaće u odnosu na prethodno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31.067,65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44.502,60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143,2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13.434,95 €. Dio razloga povećanja rashoda isti je kao i u prethodnoj bilješci, priznavanje 13 rashoda za plaće. Dio povećanja odnosi se pogrešno evidentiranje prekovremenih sati u prethodnom razdoblju. Prilikom knjiženja nisu uzeti u obzir svi iznosi po elementima u specifikaciji Centralnog obračuna plaća a koji čine prekovremene sate. Također su šk. god. 2025./2026. priznati redovni prekovremeni sati za nastavu u kući. Uzimajući u obzir pogrešno knjiženje nije došlo do značajnijeg rasta plaća.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307.509,78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352.214,79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44.705,01 €. Razlog povećanja priznavanje 13 rashoda i povećanje osnovice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10.032,29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5.845,15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58,3</w:t>
            </w:r>
          </w:p>
        </w:tc>
      </w:tr>
    </w:tbl>
    <w:p>
      <w:pPr>
        <w:spacing w:before="0" w:after="0"/>
      </w:pPr>
    </w:p>
    <w:p>
      <w:r>
        <w:t xml:space="preserve">U izvještajnom razdoblju ukupni rashodi manji su za 4.187,14 €. Do smanjenja troškova stručnog usavršavanja došlo je u dijelu koji se financira iz Erasmus projekata obzirom da su projektne aktivnosti završene.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1.312,80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45,9</w:t>
            </w:r>
          </w:p>
        </w:tc>
      </w:tr>
    </w:tbl>
    <w:p>
      <w:pPr>
        <w:spacing w:before="0" w:after="0"/>
      </w:pPr>
    </w:p>
    <w:p>
      <w:r>
        <w:t xml:space="preserve">U izvještajnom razdoblju ukupni rashodi manji su za 710,50 €. Smanjeni su rashodi troškova korištenja privatnog automobila u službene svrhe. Ovi rashodi financiraju se najvećim dijelom ograničenim decentraliziranim sredstvima te su zbog mjera štednje smanjena.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24.612,02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27.499,51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111,7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2.887,49 €. Povećanje rashoda uredskog materijala odnosi se najvećim dijelom na potrošni materijal koji se koristi za učenike za aktivnosti predškole i produženog boravka i aktivnosti putem određenih projekata. Dijelom se povećanje odnosi i na rast cijena materijala.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310,6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2.496,29 €. Ostvaren je porast rashoda zbog nabave didaktičkog materijala koji se financira iz preventivnog projekta Ministarstva znanosti, obrazovanja i mladih.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1.488,51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487,1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1.182,94 €. Bilježi se porast troškova nabave službene i radne odjeće u odnosu na prethodno razdoblje. U prethodnom razdoblju zbog mjera štednje nije nabavljena službena i radna odjeća.  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5.436,45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11.964,53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220,1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6.528,08 €. Rashodi održavanja ovise o stvarnim potrebama tj. popravcima i kvarovima.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4.783,93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4.250,47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88,8</w:t>
            </w:r>
          </w:p>
        </w:tc>
      </w:tr>
    </w:tbl>
    <w:p>
      <w:pPr>
        <w:spacing w:before="0" w:after="0"/>
      </w:pPr>
    </w:p>
    <w:p>
      <w:r>
        <w:t xml:space="preserve">U izvještajnom razdoblju ukupni rashodi manji su za 533,46 €. Smanjen je rashod komunalnih usluga u odnosu na prethodno razdoblje  za trošak provedbe dezinsekcije.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6.615,60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74,9</w:t>
            </w:r>
          </w:p>
        </w:tc>
      </w:tr>
    </w:tbl>
    <w:p>
      <w:pPr>
        <w:spacing w:before="0" w:after="0"/>
      </w:pPr>
    </w:p>
    <w:p>
      <w:r>
        <w:t xml:space="preserve">U izvještajnom razdoblju ukupni rashodi manji su za 1.658,82 €. Smanjeni su rashodi za troškove sistematskih pregleda. U izvještajnom razdoblju manji broj zaposlenika bio je na rasporedu za pregled. Dinamika pregleda ugovorena je Kolektivnim ugovorom.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3.453,30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7.206,20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208,7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3.752,90 €. Povećanje rashoda odnosi se na troškove vezane uz dogradnju škole, tj. kontrolu glavnog projekta i na geodetske poslove.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Računalne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4.478,56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174,2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1.907,41 €. Do povećanja rashoda došlo je zbog ulaska u riznicu kojim je nastao dodatan trošak za održavanje programa informacijskog sustava riznice.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2.538,57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3.511,87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138,3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973,30 €. Povećanje rashoda odnosi se na naknadu za nezapošljavanje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Bankarske usluge i usluge platnog prometa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44,2</w:t>
            </w:r>
          </w:p>
        </w:tc>
      </w:tr>
    </w:tbl>
    <w:p>
      <w:pPr>
        <w:spacing w:before="0" w:after="0"/>
      </w:pPr>
    </w:p>
    <w:p>
      <w:r>
        <w:t xml:space="preserve">U izvještajnom razdoblju ukupni rashodi manji su za 531,71 €. Do smanjenja rashoda došlo je zbog ulaska u riznicu pa se poslovni račun škole zatvorio.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rashodi poslovanja (šifre 3-Z003+Z004)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2.634.672,72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2.984.566,00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Ukupni rashodi poslovanja povećani su za 349.893,28 €. Najveći udio u povećanju rashoda čine rashodi za zaposlene. Priznavanjem rashoda za 13 plaća zbog ukidanja kontinuiranih rashoda budućih razdoblja i povećanje troškova plaća zbog rasta osnovice za obračun plaća.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73.615,75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ostvaren je zbog priznavanja 13 rashoda za plaće zaposlenih.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- preneseni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23.057,22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17.795,22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77,2</w:t>
            </w:r>
          </w:p>
        </w:tc>
      </w:tr>
    </w:tbl>
    <w:p>
      <w:pPr>
        <w:spacing w:before="0" w:after="0"/>
      </w:pPr>
    </w:p>
    <w:p>
      <w:r>
        <w:t xml:space="preserve">Za preneseni manjak izvršena je korekcija u iznosu 460,70 € povratom jubilarne nagrade u proračun. Preneseni manjak s danom 1.1.2025. iznosio je 18.330,42 €.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209.436,72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Na računu obračunati prihodi evidentirani su prihodi Ministarstva za plaću za 12 mjesec, za izvanučioničku nastavu i za prehranu učenika za 12 mjesec.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83,2</w:t>
            </w:r>
          </w:p>
        </w:tc>
      </w:tr>
    </w:tbl>
    <w:p>
      <w:pPr>
        <w:spacing w:before="0" w:after="0"/>
      </w:pPr>
    </w:p>
    <w:p>
      <w:r>
        <w:t xml:space="preserve">Obračunati prihodi za najam dvorane za 12 mj.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16.647,00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18.491,35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111,1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1.844,35 €. Povećanje rashoda odnosi se na primitak namjenskih sredstava za nabavu tehničkog i sigurnosnog opremanja škole, za nabavu namještaja za opremanje učionica te za nabavu logopedskih sonda.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8.328,10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216,7</w:t>
            </w:r>
          </w:p>
        </w:tc>
      </w:tr>
    </w:tbl>
    <w:p>
      <w:pPr>
        <w:spacing w:before="0" w:after="0"/>
      </w:pPr>
    </w:p>
    <w:p>
      <w:r>
        <w:t xml:space="preserve">U izvještajnom razdoblju ukupni rashodi veći su za 4.484,37 €. Rashodi se odnose na nabavu udžbenika koje financira MZOM a uvjetovana je brojem učenika i razreda za koje se nabavljaju udžbenici. Cijene udžbenika definirane su katalogom kojeg objavljuje Ministarstvo.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4850,0</w:t>
            </w:r>
          </w:p>
        </w:tc>
      </w:tr>
    </w:tbl>
    <w:p>
      <w:pPr>
        <w:spacing w:before="0" w:after="0"/>
      </w:pPr>
    </w:p>
    <w:p>
      <w:r>
        <w:t xml:space="preserve">Povećanje rashoda odnosi se na izradu projekte dokumentacije za dogradnju i rekonstrukciju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21.490,73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75.319,45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350,5</w:t>
            </w:r>
          </w:p>
        </w:tc>
      </w:tr>
    </w:tbl>
    <w:p>
      <w:pPr>
        <w:spacing w:before="0" w:after="0"/>
      </w:pPr>
    </w:p>
    <w:p>
      <w:r>
        <w:t xml:space="preserve">Manjak ostvaren u izvještajnom razdoblju pokrit će se u iznosu 74.009,51 eura ostvarenim kapitalnim prihodima. Ostatak manjka pokrit će se u sljedećem razdoblju odlukom o prebijanju viška prihoda poslovanja od najma dvorane i prenesenim viškom iz 2024. po Erasmus projektu.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148.935,20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poslovanja rezultat je ukidanja računa 193 kontinuiranih rashoda i priznavanja 13 rashoda za plaće. Ostvaren metodološki manjak pokrit će se prihodima iz Ministarstva u sljedećem financijskom razdoblju.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18.330,42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166.804,92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910,0</w:t>
            </w:r>
          </w:p>
        </w:tc>
      </w:tr>
    </w:tbl>
    <w:p>
      <w:pPr>
        <w:spacing w:before="0" w:after="0"/>
      </w:pPr>
    </w:p>
    <w:p>
      <w:r>
        <w:t xml:space="preserve">Ukupan manjak prihoda poslovanja rezultat je ukidanja računa 193 kontinuiranih rashoda i priznavanja 13 rashoda za plaće. Ostvaren metodološki manjak pokrit će se prihodima iz Ministarstva u sljedećem financijskom razdoblju.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176.823,65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izvještajnoj godini ukinut je račun 193 za kontinuirane rashode. U prethodnoj godini odnosi se na plaću za 12. mjesec.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9.928,66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30.739,12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309,6</w:t>
            </w:r>
          </w:p>
        </w:tc>
      </w:tr>
    </w:tbl>
    <w:p>
      <w:pPr>
        <w:spacing w:before="0" w:after="0"/>
      </w:pPr>
    </w:p>
    <w:p>
      <w:r>
        <w:t xml:space="preserve">Na početku izvještajnog razdoblja na poslovnom računu banke stanje iznosi 30.739,12 eura. Sredstva su utrošena za rashode u izvještajnom razdoblju.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kraju izvještajnog razdoblja (šifre 11P + '11-dugov.' - '11-potraž.')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11K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30.739,12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svibnju 2025. godine škola je ušla u sustav Riznice Međimurske županije te je ukinut dotadašnji vlastiti poslovni račun u banci.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17.773,95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46.319,33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260,6</w:t>
            </w:r>
          </w:p>
        </w:tc>
      </w:tr>
    </w:tbl>
    <w:p>
      <w:pPr>
        <w:spacing w:before="0" w:after="0"/>
      </w:pPr>
    </w:p>
    <w:p>
      <w:r>
        <w:t xml:space="preserve">U izvještajnom razdoblju ukupni prihodi veću su za 28.545,38 eura i ostvareni su iz općinskog proračuna. Povećanje prihoda odnosi se na sufinanciranje produženog boravka te prihoda za sufinanciranje provođenja programa predškole za djecu romske nacionalne manjine koji se provodi u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3.842,34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8.402,60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218,7</w:t>
            </w:r>
          </w:p>
        </w:tc>
      </w:tr>
    </w:tbl>
    <w:p>
      <w:pPr>
        <w:spacing w:before="0" w:after="0"/>
      </w:pPr>
    </w:p>
    <w:p>
      <w:r>
        <w:t xml:space="preserve">Povećanje prihoda Ministarstva u iznosu 4.560,26 eura odnosi se na nabavu udžbenika za učenike u šk. god. 2025./2026. 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JLP(R)S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13.216,51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5.150,66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39,0</w:t>
            </w:r>
          </w:p>
        </w:tc>
      </w:tr>
    </w:tbl>
    <w:p>
      <w:pPr>
        <w:spacing w:before="0" w:after="0"/>
      </w:pPr>
    </w:p>
    <w:p>
      <w:r>
        <w:t xml:space="preserve">Smanjenje prihoda u iznosu 8.065,85 eura odnosi se na prihode iz općinskog proračuna. Kako je općina povećala prihode za sufinanciranje produženog i predškole smanjila je dotacije za kapitalne prihode.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58.280,44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43.168,88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74,1</w:t>
            </w:r>
          </w:p>
        </w:tc>
      </w:tr>
    </w:tbl>
    <w:p>
      <w:pPr>
        <w:spacing w:before="0" w:after="0"/>
      </w:pPr>
    </w:p>
    <w:p>
      <w:r>
        <w:t xml:space="preserve">Smanjenje sadašnje vrijednosti postrojenja i opreme odnosi se na provedenu amortizaciju.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u pripremi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54.625,00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891,8</w:t>
            </w:r>
          </w:p>
        </w:tc>
      </w:tr>
    </w:tbl>
    <w:p>
      <w:pPr>
        <w:spacing w:before="0" w:after="0"/>
      </w:pPr>
    </w:p>
    <w:p>
      <w:r>
        <w:t xml:space="preserve">Povećanje imovine u pripremi u iznosu 48.500 eura odnosi se na projektnu dokumentaciju dogradnje i rekonstrukcije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30.739,12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tekućoj godini poslovni račun u banci zatvoren je zbog prijelaza na sustav županijske riznice u poslovanju.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1.989,20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2.527,95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127,1</w:t>
            </w:r>
          </w:p>
        </w:tc>
      </w:tr>
    </w:tbl>
    <w:p>
      <w:pPr>
        <w:spacing w:before="0" w:after="0"/>
      </w:pPr>
    </w:p>
    <w:p>
      <w:r>
        <w:t xml:space="preserve">Na ovom računu iskazana su potraživanja za bolovanja na teret HZZO-a. Potraživanja sa stanja 1.siječanja zatvorena su na potraživanja sa stanjem 31.prosinca potraživanja su za bolovanja 11. i 12.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208.876,72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izvještajnoj godini, prema Pravilniku o proračunskom računovodstvu i računskom planu na računu potraživanja za pomoći, evidentiraju se tekuća i kapitalna potraživanja u trenutku nastanka obveze. Potraživanja u iznosu 208.876,72 eura  odnose se na potraživanja prema Ministarstvu za plaću za 12 mjesec, za izvanučioničku nastavu i za prehranu učenika za 12 mjesec.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59.556,64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razdoblja, ulaskom 2025. godine u županijsku riznicu, škola potražuje vlastita sredstva uplaćena u nadležni proračun, tj. račun Međimurske županije. Sredstva se odnose na prihode Ministarstva za provedbu predškole, produženog boravka i projekata, prihode iz općinskog proračuna nastalih promjenom načina financiranja pomoćnika u nastavi,  prihode po posebnim propisima te neutrošena sredstva po Erasmus projektu.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176.823,65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Pravilnikom o proračunskom računovodstvu i računskom planu ukida se konto kontiruniranih rashoda budućih razdoblja na kojem je na početku izvještajnog razdoblja bilo prikazano potraživanje za  plaću za 12. mjesec 2024.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(šifre 23+24+25+26+27+29)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227.882,39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228.889,51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100,4</w:t>
            </w:r>
          </w:p>
        </w:tc>
      </w:tr>
    </w:tbl>
    <w:p>
      <w:pPr>
        <w:spacing w:before="0" w:after="0"/>
      </w:pPr>
    </w:p>
    <w:p>
      <w:r>
        <w:t xml:space="preserve">Ukupne obveze  s početka i završetka razdoblja ne razlikuje se znatno. Sve obveze s početka razdoblja podmirene su na s kraja razdoblja odnose se na nedospjele obveze za plaće i materijalna prava radnika za prosinac 2025. , za materijalne rashode iz prosinca 2025., te za obveze za bolovanje za prosinac 2025.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Obveza za bolovanje za prosinac 2025. na teret HZZO-a. Obveze povrata sredstva u proračun za bolovanja na teret HZZO-a evidenitiraju su u 2025 na računu 27 Obveze za predujmove, depozite, jamčevne pologe i tuđe prihode.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-18.330,42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-166.804,92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910,0</w:t>
            </w:r>
          </w:p>
        </w:tc>
      </w:tr>
    </w:tbl>
    <w:p>
      <w:pPr>
        <w:spacing w:before="0" w:after="0"/>
      </w:pPr>
    </w:p>
    <w:p>
      <w:r>
        <w:t xml:space="preserve">Povećanje ukupnog manjka koji se prenosi u sljedeće razdoblje rezultat je priznavanja 13 rashoda za plaće. Manjak je metodološke prirode i pokrit će se u sljedećem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209.436,72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U izvještajnoj godini, prema Pravilniku o proračunskom računovodstvu i računskom planu na računu 96 obračunati prihodi poslovanja evidentiraju se tekući i kapitalni prihodi u trenutku nastanka obveze. Od ukupnog iznosa obračunatih prihoda prihodi u iznosu 208.876,72 eura  ondose se na obračunate prihode Ministarstva za plaću za 12 mjesec, za izvanučioničku nastavu i za prehranu učenika za 12 mjesec. Ostatak obračunatih prihoda odnosi se na najam dvorane i sufinanciranje roditelja za produženi  boravak.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Izvanbilančni zapisi - aktiva (šifra 996)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100</w:t>
            </w:r>
          </w:p>
        </w:tc>
      </w:tr>
    </w:tbl>
    <w:p>
      <w:pPr>
        <w:spacing w:before="0" w:after="0"/>
      </w:pPr>
    </w:p>
    <w:p>
      <w:r>
        <w:t xml:space="preserve">U izvanbilančnim zapisima evidentirane su bianco zadužnice za uredno ispunjenje ugovornih obveza za izradu projektne dokumentacije za rekonstrukciju i dogradnju škole. Obzirom da još nisu ispunjene sve ugovorne obveze stanje na početku i na kraju izvještajnog razdoblja je nepromijenjeno.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2.656.163,45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3.059.885,45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115,2</w:t>
            </w:r>
          </w:p>
        </w:tc>
      </w:tr>
    </w:tbl>
    <w:p>
      <w:pPr>
        <w:spacing w:before="0" w:after="0"/>
      </w:pPr>
    </w:p>
    <w:p>
      <w:r>
        <w:t xml:space="preserve">Povećanje rashoda rezultat je evidentiranja 13. rashoda za plaće, rasta plaće zbog osnovice za obračun plaće, zbog rekonstrukcije i dogradnje škole te rashoda povezanih uz provođenje programa predškole.  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imovine (šifre P001+P008)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114.760,71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Novi Pravilnik uvodi knjiženje ispravka vrijednosti dugotrajne imovine preko podskupine 915. Smanjenje vrijednosti imovine odnosi se na obračun ispravka vrijednosti imovine.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škola nema dospjelih obveza.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227.811,09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su za obračunate plaće za prosinac 2025. i  za materijalne rashod iz prosinca 2025. Nedospjele obveze podmirit će su u siječnju 2026.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povrata sredstva u proračun za bolovanje na teret HZZO-a za prosinac 2025. Obveze će se zatvoriti u narednom kvartalu po primitku obavijesti o refundaciji.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7a0b2ec32a5405d" /></Relationships>
</file>