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D2037" w14:textId="77777777" w:rsidR="00322614" w:rsidRPr="003A0728" w:rsidRDefault="00322614" w:rsidP="003A0728">
      <w:pPr>
        <w:spacing w:after="0"/>
        <w:jc w:val="both"/>
        <w:rPr>
          <w:rFonts w:cstheme="minorHAnsi"/>
          <w:b/>
          <w:bCs/>
        </w:rPr>
      </w:pPr>
      <w:r w:rsidRPr="003A0728">
        <w:rPr>
          <w:rFonts w:cstheme="minorHAnsi"/>
          <w:b/>
          <w:bCs/>
        </w:rPr>
        <w:t xml:space="preserve">OSNOVNA ŠKOLA TOMAŠA </w:t>
      </w:r>
    </w:p>
    <w:p w14:paraId="3AA9A20E" w14:textId="77777777" w:rsidR="00322614" w:rsidRPr="003A0728" w:rsidRDefault="00322614" w:rsidP="003A0728">
      <w:pPr>
        <w:spacing w:after="0"/>
        <w:jc w:val="both"/>
        <w:rPr>
          <w:rFonts w:cstheme="minorHAnsi"/>
          <w:b/>
          <w:bCs/>
        </w:rPr>
      </w:pPr>
      <w:r w:rsidRPr="003A0728">
        <w:rPr>
          <w:rFonts w:cstheme="minorHAnsi"/>
          <w:b/>
          <w:bCs/>
        </w:rPr>
        <w:t>GORIČANCA MALA SUBOTICA</w:t>
      </w:r>
    </w:p>
    <w:p w14:paraId="18BABA88" w14:textId="77777777" w:rsidR="00322614" w:rsidRPr="003A0728" w:rsidRDefault="00322614" w:rsidP="003A0728">
      <w:pPr>
        <w:spacing w:after="0"/>
        <w:jc w:val="both"/>
        <w:rPr>
          <w:rFonts w:cstheme="minorHAnsi"/>
          <w:bCs/>
        </w:rPr>
      </w:pPr>
      <w:r w:rsidRPr="003A0728">
        <w:rPr>
          <w:rFonts w:cstheme="minorHAnsi"/>
          <w:bCs/>
        </w:rPr>
        <w:t>GLAVNA 55, 40321 MALA SUBOTICA</w:t>
      </w:r>
    </w:p>
    <w:p w14:paraId="4E92C17B" w14:textId="77777777" w:rsidR="00322614" w:rsidRPr="003A0728" w:rsidRDefault="00322614" w:rsidP="003A0728">
      <w:pPr>
        <w:spacing w:after="0"/>
        <w:jc w:val="both"/>
        <w:rPr>
          <w:rFonts w:cstheme="minorHAnsi"/>
          <w:bCs/>
        </w:rPr>
      </w:pPr>
      <w:r w:rsidRPr="003A0728">
        <w:rPr>
          <w:rFonts w:cstheme="minorHAnsi"/>
          <w:bCs/>
        </w:rPr>
        <w:t>OIB: 70746388234</w:t>
      </w:r>
    </w:p>
    <w:p w14:paraId="6F156FDC" w14:textId="77777777" w:rsidR="00322614" w:rsidRPr="003A0728" w:rsidRDefault="00322614" w:rsidP="003A0728">
      <w:pPr>
        <w:spacing w:after="0"/>
        <w:jc w:val="both"/>
        <w:rPr>
          <w:rFonts w:cstheme="minorHAnsi"/>
          <w:bCs/>
        </w:rPr>
      </w:pPr>
      <w:r w:rsidRPr="003A0728">
        <w:rPr>
          <w:rFonts w:cstheme="minorHAnsi"/>
          <w:bCs/>
        </w:rPr>
        <w:t>RKP: 13594</w:t>
      </w:r>
    </w:p>
    <w:p w14:paraId="24714582" w14:textId="663A9402" w:rsidR="00322614" w:rsidRPr="003A0728" w:rsidRDefault="00322614" w:rsidP="003A0728">
      <w:pPr>
        <w:spacing w:after="0"/>
        <w:jc w:val="both"/>
        <w:rPr>
          <w:rFonts w:cstheme="minorHAnsi"/>
        </w:rPr>
      </w:pPr>
      <w:r w:rsidRPr="003A0728">
        <w:rPr>
          <w:rFonts w:cstheme="minorHAnsi"/>
        </w:rPr>
        <w:t>U Maloj Subotici</w:t>
      </w:r>
      <w:r w:rsidR="00B424A2">
        <w:rPr>
          <w:rFonts w:cstheme="minorHAnsi"/>
        </w:rPr>
        <w:t>,</w:t>
      </w:r>
      <w:r w:rsidRPr="003A0728">
        <w:rPr>
          <w:rFonts w:cstheme="minorHAnsi"/>
        </w:rPr>
        <w:t xml:space="preserve"> </w:t>
      </w:r>
      <w:r w:rsidR="00044B23">
        <w:rPr>
          <w:rFonts w:cstheme="minorHAnsi"/>
        </w:rPr>
        <w:t>26.2.2025.</w:t>
      </w:r>
    </w:p>
    <w:p w14:paraId="288445FF" w14:textId="77777777" w:rsidR="00322614" w:rsidRPr="003A0728" w:rsidRDefault="00322614" w:rsidP="003A0728">
      <w:pPr>
        <w:spacing w:after="0"/>
        <w:jc w:val="both"/>
        <w:rPr>
          <w:rFonts w:cstheme="minorHAnsi"/>
        </w:rPr>
      </w:pPr>
    </w:p>
    <w:p w14:paraId="757E2332" w14:textId="52A444C7" w:rsidR="00322614" w:rsidRPr="003A0728" w:rsidRDefault="00322614" w:rsidP="003A0728">
      <w:pPr>
        <w:spacing w:after="0"/>
        <w:jc w:val="both"/>
        <w:rPr>
          <w:rFonts w:cstheme="minorHAnsi"/>
        </w:rPr>
      </w:pPr>
      <w:r w:rsidRPr="003A0728">
        <w:rPr>
          <w:rFonts w:cstheme="minorHAnsi"/>
        </w:rPr>
        <w:t>KLASA:</w:t>
      </w:r>
      <w:r w:rsidR="00D32020" w:rsidRPr="003A0728">
        <w:rPr>
          <w:rFonts w:cstheme="minorHAnsi"/>
        </w:rPr>
        <w:t xml:space="preserve"> </w:t>
      </w:r>
      <w:r w:rsidR="00044B23">
        <w:rPr>
          <w:rFonts w:cstheme="minorHAnsi"/>
        </w:rPr>
        <w:t>400-01/25</w:t>
      </w:r>
      <w:r w:rsidR="00631D7E" w:rsidRPr="003A0728">
        <w:rPr>
          <w:rFonts w:cstheme="minorHAnsi"/>
        </w:rPr>
        <w:t>-03/02</w:t>
      </w:r>
    </w:p>
    <w:p w14:paraId="78ED6B38" w14:textId="34814770" w:rsidR="00322614" w:rsidRPr="003A0728" w:rsidRDefault="00322614" w:rsidP="003A0728">
      <w:pPr>
        <w:spacing w:after="0"/>
        <w:jc w:val="both"/>
        <w:rPr>
          <w:rFonts w:cstheme="minorHAnsi"/>
        </w:rPr>
      </w:pPr>
      <w:r w:rsidRPr="003A0728">
        <w:rPr>
          <w:rFonts w:cstheme="minorHAnsi"/>
        </w:rPr>
        <w:t>URBROJ:</w:t>
      </w:r>
      <w:r w:rsidR="00D32020" w:rsidRPr="003A0728">
        <w:rPr>
          <w:rFonts w:cstheme="minorHAnsi"/>
        </w:rPr>
        <w:t xml:space="preserve"> </w:t>
      </w:r>
      <w:r w:rsidR="00044B23">
        <w:rPr>
          <w:rFonts w:cstheme="minorHAnsi"/>
        </w:rPr>
        <w:t>2109-35/01-25</w:t>
      </w:r>
      <w:r w:rsidR="00436467" w:rsidRPr="003A0728">
        <w:rPr>
          <w:rFonts w:cstheme="minorHAnsi"/>
        </w:rPr>
        <w:t>-1</w:t>
      </w:r>
    </w:p>
    <w:p w14:paraId="21603435" w14:textId="77777777" w:rsidR="003A0728" w:rsidRPr="003A0728" w:rsidRDefault="003A0728" w:rsidP="003A0728">
      <w:pPr>
        <w:spacing w:after="0"/>
        <w:jc w:val="center"/>
        <w:rPr>
          <w:rFonts w:cstheme="minorHAnsi"/>
          <w:b/>
        </w:rPr>
      </w:pPr>
    </w:p>
    <w:p w14:paraId="6CA7C5E2" w14:textId="28AD74A2" w:rsidR="003A0728" w:rsidRPr="003A0728" w:rsidRDefault="00322614" w:rsidP="003A0728">
      <w:pPr>
        <w:spacing w:after="0"/>
        <w:jc w:val="center"/>
        <w:rPr>
          <w:rFonts w:cstheme="minorHAnsi"/>
          <w:b/>
        </w:rPr>
      </w:pPr>
      <w:r w:rsidRPr="003A0728">
        <w:rPr>
          <w:rFonts w:cstheme="minorHAnsi"/>
          <w:b/>
        </w:rPr>
        <w:t>OBR</w:t>
      </w:r>
      <w:r w:rsidR="00CE38AB" w:rsidRPr="003A0728">
        <w:rPr>
          <w:rFonts w:cstheme="minorHAnsi"/>
          <w:b/>
        </w:rPr>
        <w:t>A</w:t>
      </w:r>
      <w:r w:rsidR="00631D7E" w:rsidRPr="003A0728">
        <w:rPr>
          <w:rFonts w:cstheme="minorHAnsi"/>
          <w:b/>
        </w:rPr>
        <w:t xml:space="preserve">ZLOŽENJE </w:t>
      </w:r>
      <w:r w:rsidRPr="003A0728">
        <w:rPr>
          <w:rFonts w:cstheme="minorHAnsi"/>
          <w:b/>
        </w:rPr>
        <w:t xml:space="preserve">IZVJEŠTAJA O IZVRŠENJU FINANCIJSKOG PLANA </w:t>
      </w:r>
    </w:p>
    <w:p w14:paraId="2EBF93C2" w14:textId="3F1B2332" w:rsidR="00322614" w:rsidRPr="003A0728" w:rsidRDefault="00322614" w:rsidP="003A0728">
      <w:pPr>
        <w:spacing w:after="0"/>
        <w:jc w:val="center"/>
        <w:rPr>
          <w:rFonts w:cstheme="minorHAnsi"/>
          <w:b/>
        </w:rPr>
      </w:pPr>
      <w:r w:rsidRPr="003A0728">
        <w:rPr>
          <w:rFonts w:cstheme="minorHAnsi"/>
          <w:b/>
        </w:rPr>
        <w:t xml:space="preserve">ZA </w:t>
      </w:r>
      <w:r w:rsidR="00631D7E" w:rsidRPr="003A0728">
        <w:rPr>
          <w:rFonts w:cstheme="minorHAnsi"/>
          <w:b/>
        </w:rPr>
        <w:t xml:space="preserve">RAZDOBLJE </w:t>
      </w:r>
      <w:r w:rsidR="00044B23">
        <w:rPr>
          <w:rFonts w:cstheme="minorHAnsi"/>
          <w:b/>
        </w:rPr>
        <w:t>1.1.2024. do 31.12.2025</w:t>
      </w:r>
      <w:r w:rsidRPr="003A0728">
        <w:rPr>
          <w:rFonts w:cstheme="minorHAnsi"/>
          <w:b/>
        </w:rPr>
        <w:t xml:space="preserve">. </w:t>
      </w:r>
    </w:p>
    <w:p w14:paraId="0694362C" w14:textId="77777777" w:rsidR="00F9542E" w:rsidRPr="003A0728" w:rsidRDefault="00F9542E" w:rsidP="003A0728">
      <w:pPr>
        <w:jc w:val="center"/>
        <w:rPr>
          <w:rFonts w:cstheme="minorHAnsi"/>
        </w:rPr>
      </w:pPr>
    </w:p>
    <w:p w14:paraId="51E84B14" w14:textId="45E4DCE3" w:rsidR="00631D7E" w:rsidRPr="003A0728" w:rsidRDefault="00631D7E" w:rsidP="003A0728">
      <w:pPr>
        <w:jc w:val="both"/>
        <w:rPr>
          <w:rFonts w:cstheme="minorHAnsi"/>
        </w:rPr>
      </w:pPr>
      <w:r w:rsidRPr="003A0728">
        <w:rPr>
          <w:rFonts w:cstheme="minorHAnsi"/>
        </w:rPr>
        <w:t>Osnovna škola</w:t>
      </w:r>
      <w:r w:rsidR="003A0728" w:rsidRPr="003A0728">
        <w:rPr>
          <w:rFonts w:cstheme="minorHAnsi"/>
        </w:rPr>
        <w:t xml:space="preserve"> Tomaša Goričanca Mala Subotica</w:t>
      </w:r>
      <w:r w:rsidRPr="003A0728">
        <w:rPr>
          <w:rFonts w:cstheme="minorHAnsi"/>
        </w:rPr>
        <w:t xml:space="preserve"> obavlja osnovnu djelatnost odgoja i obrazovanja sukladno odredbama Zakona o odgoju i obrazovanju u osnovnoj i srednjoj školi te obavlja i vlastitu djelatnost zakupa poslovnog prostora, odnosno školske dvorane.</w:t>
      </w:r>
    </w:p>
    <w:p w14:paraId="2F3CDD01" w14:textId="257F542B" w:rsidR="00322614" w:rsidRPr="003A0728" w:rsidRDefault="000E1B01" w:rsidP="003A0728">
      <w:pPr>
        <w:jc w:val="both"/>
        <w:rPr>
          <w:rFonts w:cstheme="minorHAnsi"/>
        </w:rPr>
      </w:pPr>
      <w:r>
        <w:rPr>
          <w:rFonts w:cstheme="minorHAnsi"/>
        </w:rPr>
        <w:t>G</w:t>
      </w:r>
      <w:r w:rsidR="00631D7E" w:rsidRPr="003A0728">
        <w:rPr>
          <w:rFonts w:cstheme="minorHAnsi"/>
        </w:rPr>
        <w:t>odišnji izvještaj o</w:t>
      </w:r>
      <w:r w:rsidR="00322614" w:rsidRPr="003A0728">
        <w:rPr>
          <w:rFonts w:cstheme="minorHAnsi"/>
        </w:rPr>
        <w:t xml:space="preserve"> </w:t>
      </w:r>
      <w:r w:rsidR="00631D7E" w:rsidRPr="003A0728">
        <w:rPr>
          <w:rFonts w:cstheme="minorHAnsi"/>
        </w:rPr>
        <w:t xml:space="preserve">izvršenju </w:t>
      </w:r>
      <w:r w:rsidR="00322614" w:rsidRPr="003A0728">
        <w:rPr>
          <w:rFonts w:cstheme="minorHAnsi"/>
        </w:rPr>
        <w:t>financijskog plana proračunskog i izvanproračunskog korisnika propisan je u čl. 81. – 87 . Zakona o proračunu (NN br. 144/21.), a</w:t>
      </w:r>
      <w:r w:rsidR="00436467" w:rsidRPr="003A0728">
        <w:rPr>
          <w:rFonts w:cstheme="minorHAnsi"/>
        </w:rPr>
        <w:t xml:space="preserve"> </w:t>
      </w:r>
      <w:r w:rsidR="00322614" w:rsidRPr="003A0728">
        <w:rPr>
          <w:rFonts w:cstheme="minorHAnsi"/>
        </w:rPr>
        <w:t>uređen Pravilnikom o polugodišnjem i godišnjem izvještaju o izvršenju proračuna i financijskog plana (NN br. 85/23.).</w:t>
      </w:r>
      <w:r w:rsidR="00322614" w:rsidRPr="003A0728">
        <w:rPr>
          <w:rFonts w:cstheme="minorHAnsi"/>
        </w:rPr>
        <w:tab/>
      </w:r>
    </w:p>
    <w:p w14:paraId="4CF7454E" w14:textId="77777777" w:rsidR="00322614" w:rsidRPr="003A0728" w:rsidRDefault="00D26DDF" w:rsidP="003A0728">
      <w:pPr>
        <w:pStyle w:val="Bezproreda"/>
        <w:spacing w:line="276" w:lineRule="auto"/>
        <w:jc w:val="both"/>
        <w:rPr>
          <w:rFonts w:cstheme="minorHAnsi"/>
        </w:rPr>
      </w:pPr>
      <w:r w:rsidRPr="003A0728">
        <w:rPr>
          <w:rFonts w:cstheme="minorHAnsi"/>
        </w:rPr>
        <w:t>Godišnji izvještaj o izvršenju financijskog plana sadrži:</w:t>
      </w:r>
    </w:p>
    <w:p w14:paraId="1086E864" w14:textId="77777777" w:rsidR="00D26DDF" w:rsidRPr="003A0728" w:rsidRDefault="00D26DDF" w:rsidP="003A0728">
      <w:pPr>
        <w:pStyle w:val="Bezproreda"/>
        <w:spacing w:line="276" w:lineRule="auto"/>
        <w:jc w:val="both"/>
        <w:rPr>
          <w:rFonts w:cstheme="minorHAnsi"/>
          <w:bCs/>
        </w:rPr>
      </w:pPr>
      <w:r w:rsidRPr="003A0728">
        <w:rPr>
          <w:rFonts w:cstheme="minorHAnsi"/>
          <w:bCs/>
        </w:rPr>
        <w:t>1. Opći dio</w:t>
      </w:r>
    </w:p>
    <w:p w14:paraId="228DFF13" w14:textId="19C88F40" w:rsidR="00D26DDF" w:rsidRPr="003A0728" w:rsidRDefault="00D26DDF" w:rsidP="003A0728">
      <w:pPr>
        <w:pStyle w:val="Bezproreda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3A0728">
        <w:rPr>
          <w:rFonts w:cstheme="minorHAnsi"/>
        </w:rPr>
        <w:t>sažetak Računa prihoda i rashoda i Računa financiranja</w:t>
      </w:r>
    </w:p>
    <w:p w14:paraId="3C7F3EF7" w14:textId="55CBD325" w:rsidR="00D26DDF" w:rsidRPr="003A0728" w:rsidRDefault="00D26DDF" w:rsidP="003A0728">
      <w:pPr>
        <w:pStyle w:val="Bezproreda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3A0728">
        <w:rPr>
          <w:rFonts w:cstheme="minorHAnsi"/>
        </w:rPr>
        <w:t>Račun prihod i rashoda</w:t>
      </w:r>
      <w:r w:rsidR="0053645A" w:rsidRPr="003A0728">
        <w:rPr>
          <w:rFonts w:cstheme="minorHAnsi"/>
        </w:rPr>
        <w:t xml:space="preserve"> prema ekonomskoj klasifikaciji</w:t>
      </w:r>
    </w:p>
    <w:p w14:paraId="276A77C5" w14:textId="69882BED" w:rsidR="0053645A" w:rsidRPr="003A0728" w:rsidRDefault="0053645A" w:rsidP="003A0728">
      <w:pPr>
        <w:pStyle w:val="Bezproreda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3A0728">
        <w:rPr>
          <w:rFonts w:cstheme="minorHAnsi"/>
        </w:rPr>
        <w:t xml:space="preserve">Račun prihoda i rashoda prema izvorima financiranja </w:t>
      </w:r>
    </w:p>
    <w:p w14:paraId="789F5302" w14:textId="77777777" w:rsidR="00D26DDF" w:rsidRPr="003A0728" w:rsidRDefault="00D26DDF" w:rsidP="003A0728">
      <w:pPr>
        <w:pStyle w:val="Bezproreda"/>
        <w:spacing w:line="276" w:lineRule="auto"/>
        <w:jc w:val="both"/>
        <w:rPr>
          <w:rFonts w:cstheme="minorHAnsi"/>
          <w:bCs/>
        </w:rPr>
      </w:pPr>
      <w:r w:rsidRPr="003A0728">
        <w:rPr>
          <w:rFonts w:cstheme="minorHAnsi"/>
          <w:bCs/>
        </w:rPr>
        <w:t xml:space="preserve">2. Posebni dio </w:t>
      </w:r>
    </w:p>
    <w:p w14:paraId="1340664C" w14:textId="0F43D5EC" w:rsidR="00D26DDF" w:rsidRPr="003A0728" w:rsidRDefault="00D26DDF" w:rsidP="003A0728">
      <w:pPr>
        <w:pStyle w:val="Bezproreda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3A0728">
        <w:rPr>
          <w:rFonts w:cstheme="minorHAnsi"/>
        </w:rPr>
        <w:t>Izvještaj po izvorima financiranja i ekonomskoj klasifikaciji, raspoređenih u programe koji se sastoje od aktivnosti</w:t>
      </w:r>
    </w:p>
    <w:p w14:paraId="28A11ABF" w14:textId="77777777" w:rsidR="00D26DDF" w:rsidRPr="003A0728" w:rsidRDefault="00D26DDF" w:rsidP="003A0728">
      <w:pPr>
        <w:pStyle w:val="Bezproreda"/>
        <w:spacing w:line="276" w:lineRule="auto"/>
        <w:jc w:val="both"/>
        <w:rPr>
          <w:rFonts w:cstheme="minorHAnsi"/>
          <w:bCs/>
        </w:rPr>
      </w:pPr>
      <w:r w:rsidRPr="003A0728">
        <w:rPr>
          <w:rFonts w:cstheme="minorHAnsi"/>
          <w:bCs/>
        </w:rPr>
        <w:t>3. Obrazloženje općeg i posebnog dijela izvještaja</w:t>
      </w:r>
    </w:p>
    <w:p w14:paraId="13072974" w14:textId="77777777" w:rsidR="003A0728" w:rsidRPr="003A0728" w:rsidRDefault="003A0728" w:rsidP="003A0728">
      <w:pPr>
        <w:pStyle w:val="Bezproreda"/>
        <w:spacing w:line="276" w:lineRule="auto"/>
        <w:jc w:val="both"/>
        <w:rPr>
          <w:rFonts w:cstheme="minorHAnsi"/>
        </w:rPr>
      </w:pPr>
    </w:p>
    <w:p w14:paraId="5C30D43C" w14:textId="7A3F2DDB" w:rsidR="00FB295A" w:rsidRPr="003A0728" w:rsidRDefault="00F2430F" w:rsidP="003A0728">
      <w:pPr>
        <w:pStyle w:val="Bezproreda"/>
        <w:numPr>
          <w:ilvl w:val="0"/>
          <w:numId w:val="3"/>
        </w:numPr>
        <w:spacing w:line="276" w:lineRule="auto"/>
        <w:jc w:val="both"/>
        <w:rPr>
          <w:rFonts w:cstheme="minorHAnsi"/>
          <w:b/>
        </w:rPr>
      </w:pPr>
      <w:r w:rsidRPr="003A0728">
        <w:rPr>
          <w:rFonts w:cstheme="minorHAnsi"/>
          <w:b/>
        </w:rPr>
        <w:t>OPĆI DIO</w:t>
      </w:r>
    </w:p>
    <w:p w14:paraId="584AE90C" w14:textId="77777777" w:rsidR="00E230B3" w:rsidRPr="003A0728" w:rsidRDefault="00E230B3" w:rsidP="003A0728">
      <w:pPr>
        <w:pStyle w:val="Bezproreda"/>
        <w:spacing w:line="276" w:lineRule="auto"/>
        <w:jc w:val="both"/>
        <w:rPr>
          <w:rFonts w:cstheme="minorHAnsi"/>
          <w:b/>
        </w:rPr>
      </w:pPr>
    </w:p>
    <w:p w14:paraId="04EFF215" w14:textId="2B85B379" w:rsidR="00695F9B" w:rsidRPr="003A0728" w:rsidRDefault="00E87D86" w:rsidP="003A0728">
      <w:pPr>
        <w:pStyle w:val="Bezproreda"/>
        <w:spacing w:line="276" w:lineRule="auto"/>
        <w:jc w:val="both"/>
        <w:rPr>
          <w:rFonts w:cstheme="minorHAnsi"/>
        </w:rPr>
      </w:pPr>
      <w:r w:rsidRPr="003A0728">
        <w:rPr>
          <w:rFonts w:cstheme="minorHAnsi"/>
        </w:rPr>
        <w:t>S</w:t>
      </w:r>
      <w:r w:rsidR="00695F9B" w:rsidRPr="003A0728">
        <w:rPr>
          <w:rFonts w:cstheme="minorHAnsi"/>
        </w:rPr>
        <w:t xml:space="preserve">ažetak A. Računa prihoda i rashoda na razini razreda ekonomske klasifikacija za </w:t>
      </w:r>
      <w:r w:rsidRPr="003A0728">
        <w:rPr>
          <w:rFonts w:cstheme="minorHAnsi"/>
        </w:rPr>
        <w:t>godišnje razdoblje 2024</w:t>
      </w:r>
      <w:r w:rsidR="00695F9B" w:rsidRPr="003A0728">
        <w:rPr>
          <w:rFonts w:cstheme="minorHAnsi"/>
        </w:rPr>
        <w:t xml:space="preserve">. godine: </w:t>
      </w:r>
    </w:p>
    <w:tbl>
      <w:tblPr>
        <w:tblW w:w="9243" w:type="dxa"/>
        <w:tblLook w:val="04A0" w:firstRow="1" w:lastRow="0" w:firstColumn="1" w:lastColumn="0" w:noHBand="0" w:noVBand="1"/>
      </w:tblPr>
      <w:tblGrid>
        <w:gridCol w:w="4820"/>
        <w:gridCol w:w="1559"/>
        <w:gridCol w:w="1386"/>
        <w:gridCol w:w="1588"/>
      </w:tblGrid>
      <w:tr w:rsidR="00695F9B" w:rsidRPr="003A0728" w14:paraId="2CC846D0" w14:textId="77777777" w:rsidTr="003A0728">
        <w:trPr>
          <w:trHeight w:val="360"/>
        </w:trPr>
        <w:tc>
          <w:tcPr>
            <w:tcW w:w="9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6A094" w14:textId="77777777" w:rsidR="00312675" w:rsidRDefault="00312675" w:rsidP="003A0728">
            <w:pPr>
              <w:spacing w:after="0"/>
              <w:jc w:val="both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  <w:p w14:paraId="5F3FC729" w14:textId="46CF72EE" w:rsidR="00695F9B" w:rsidRPr="003A0728" w:rsidRDefault="00695F9B" w:rsidP="003A0728">
            <w:pPr>
              <w:spacing w:after="0"/>
              <w:jc w:val="both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3A072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SAŽETAK RAČUNA PRIHODA I RASHODA</w:t>
            </w:r>
            <w:r w:rsidR="00312675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,PRENESENI VIŠAK ILI PRENESENI MANJAK</w:t>
            </w:r>
          </w:p>
        </w:tc>
      </w:tr>
      <w:tr w:rsidR="00695F9B" w:rsidRPr="00BB2010" w14:paraId="3B2216B3" w14:textId="77777777" w:rsidTr="00B424A2">
        <w:trPr>
          <w:trHeight w:val="3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16804" w14:textId="77777777" w:rsidR="00695F9B" w:rsidRPr="00BB2010" w:rsidRDefault="00695F9B" w:rsidP="003A0728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PRIHODI/RASHODI TEKUĆA GODINA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14:paraId="40101BBF" w14:textId="6DFA994E" w:rsidR="00695F9B" w:rsidRPr="00BB2010" w:rsidRDefault="006718FC" w:rsidP="00B424A2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Izvršenje</w:t>
            </w:r>
            <w:r w:rsidR="00FD7A1A" w:rsidRPr="00BB201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 2023</w:t>
            </w:r>
            <w:r w:rsidR="00695F9B" w:rsidRPr="00BB201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14:paraId="4505545D" w14:textId="182A5F40" w:rsidR="00695F9B" w:rsidRPr="00BB2010" w:rsidRDefault="00FD7A1A" w:rsidP="00B424A2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Plan 2024</w:t>
            </w:r>
            <w:r w:rsidR="00695F9B" w:rsidRPr="00BB201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14:paraId="788255CA" w14:textId="766EC914" w:rsidR="00695F9B" w:rsidRPr="00BB2010" w:rsidRDefault="006718FC" w:rsidP="00B424A2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Izvršenje</w:t>
            </w:r>
            <w:r w:rsidR="00FD7A1A" w:rsidRPr="00BB201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 2024</w:t>
            </w:r>
            <w:r w:rsidR="00695F9B" w:rsidRPr="00BB201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695F9B" w:rsidRPr="00BB2010" w14:paraId="12354514" w14:textId="77777777" w:rsidTr="00B424A2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DB5A8" w14:textId="77777777" w:rsidR="00695F9B" w:rsidRPr="00BB2010" w:rsidRDefault="00695F9B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14:paraId="5FBEC5B2" w14:textId="77777777" w:rsidR="00695F9B" w:rsidRPr="00BB2010" w:rsidRDefault="00695F9B" w:rsidP="00AD52B8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14:paraId="34B32B6F" w14:textId="77777777" w:rsidR="00695F9B" w:rsidRPr="00BB2010" w:rsidRDefault="00695F9B" w:rsidP="00AD52B8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14:paraId="58961F22" w14:textId="77777777" w:rsidR="00695F9B" w:rsidRPr="00BB2010" w:rsidRDefault="00695F9B" w:rsidP="00AD52B8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</w:t>
            </w:r>
          </w:p>
        </w:tc>
      </w:tr>
      <w:tr w:rsidR="00695F9B" w:rsidRPr="00BB2010" w14:paraId="58AB9788" w14:textId="77777777" w:rsidTr="00B424A2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7E6E6" w:fill="DEEAF6"/>
            <w:vAlign w:val="center"/>
            <w:hideMark/>
          </w:tcPr>
          <w:p w14:paraId="20A7CF0F" w14:textId="77777777" w:rsidR="00695F9B" w:rsidRPr="00BB2010" w:rsidRDefault="00C934D3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 – PRIHODI POSLOVANJA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DEEAF6"/>
            <w:noWrap/>
            <w:vAlign w:val="bottom"/>
            <w:hideMark/>
          </w:tcPr>
          <w:p w14:paraId="60BF2E2A" w14:textId="7B2328CD" w:rsidR="00695F9B" w:rsidRPr="00BB2010" w:rsidRDefault="0086794A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2.143.498,12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EEAF6"/>
            <w:noWrap/>
            <w:vAlign w:val="bottom"/>
            <w:hideMark/>
          </w:tcPr>
          <w:p w14:paraId="215AF88C" w14:textId="7255A059" w:rsidR="00695F9B" w:rsidRPr="00BB2010" w:rsidRDefault="0086794A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2.654.634,00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EEAF6"/>
            <w:noWrap/>
            <w:vAlign w:val="bottom"/>
            <w:hideMark/>
          </w:tcPr>
          <w:p w14:paraId="39FDCCEE" w14:textId="375E6846" w:rsidR="00695F9B" w:rsidRPr="00BB2010" w:rsidRDefault="0086794A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2.660.964,75</w:t>
            </w:r>
          </w:p>
        </w:tc>
      </w:tr>
      <w:tr w:rsidR="00695F9B" w:rsidRPr="00BB2010" w14:paraId="6891543C" w14:textId="77777777" w:rsidTr="0086794A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E12AC6" w14:textId="77777777" w:rsidR="00695F9B" w:rsidRPr="00BB2010" w:rsidRDefault="00C934D3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3 – RASHODI POSLOVANJA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DD1F" w14:textId="2E96FDE7" w:rsidR="00695F9B" w:rsidRPr="00BB2010" w:rsidRDefault="0086794A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2.165.766,52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DD61" w14:textId="547F45A5" w:rsidR="00695F9B" w:rsidRPr="00BB2010" w:rsidRDefault="0086794A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2.632.177,04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BA63" w14:textId="536D6ABE" w:rsidR="00695F9B" w:rsidRPr="00BB2010" w:rsidRDefault="0086794A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2.634.672,72</w:t>
            </w:r>
          </w:p>
        </w:tc>
      </w:tr>
      <w:tr w:rsidR="00695F9B" w:rsidRPr="00BB2010" w14:paraId="79124B11" w14:textId="77777777" w:rsidTr="0086794A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96DC5" w14:textId="24B5BD23" w:rsidR="00695F9B" w:rsidRPr="00BB2010" w:rsidRDefault="00C934D3" w:rsidP="00AD52B8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</w:t>
            </w:r>
            <w:r w:rsidR="00AD52B8"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– </w:t>
            </w:r>
            <w:r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4EE97" w14:textId="2CC14B38" w:rsidR="00695F9B" w:rsidRPr="00BB2010" w:rsidRDefault="0086794A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18.015,16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F065" w14:textId="246C9B30" w:rsidR="00695F9B" w:rsidRPr="00BB2010" w:rsidRDefault="0086794A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20.950,00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2EDA" w14:textId="79B4B40F" w:rsidR="00695F9B" w:rsidRPr="00BB2010" w:rsidRDefault="0086794A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21.490,73</w:t>
            </w:r>
          </w:p>
        </w:tc>
      </w:tr>
      <w:tr w:rsidR="00695F9B" w:rsidRPr="00BB2010" w14:paraId="45312651" w14:textId="77777777" w:rsidTr="00B424A2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D6BE44" w14:textId="77777777" w:rsidR="00695F9B" w:rsidRPr="00BB2010" w:rsidRDefault="00C934D3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Razlika – višak/manjak 6 – (3 + 4)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E108B" w14:textId="537D5817" w:rsidR="00695F9B" w:rsidRPr="00BB2010" w:rsidRDefault="0086794A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-40.283,56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762B" w14:textId="1CDD6A7E" w:rsidR="00695F9B" w:rsidRPr="00BB2010" w:rsidRDefault="0086794A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1.506,96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2903" w14:textId="5C660851" w:rsidR="00695F9B" w:rsidRPr="00BB2010" w:rsidRDefault="0086794A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4.801,30</w:t>
            </w:r>
          </w:p>
        </w:tc>
      </w:tr>
      <w:tr w:rsidR="00695F9B" w:rsidRPr="00BB2010" w14:paraId="146B73D8" w14:textId="77777777" w:rsidTr="00B424A2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7BD2F" w14:textId="023F9C03" w:rsidR="00695F9B" w:rsidRPr="00BB2010" w:rsidRDefault="00C934D3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Višak</w:t>
            </w:r>
            <w:r w:rsidR="003E46E4"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/manjak</w:t>
            </w:r>
            <w:r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prihoda iz prethodnih razdoblja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59B1" w14:textId="046C08F6" w:rsidR="00695F9B" w:rsidRPr="00BB2010" w:rsidRDefault="0086794A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17.151,84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95D1" w14:textId="08DE9870" w:rsidR="00695F9B" w:rsidRPr="00BB2010" w:rsidRDefault="0086794A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-23.131,72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6DCE" w14:textId="243280E2" w:rsidR="00695F9B" w:rsidRPr="00BB2010" w:rsidRDefault="0078321F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  -23.131,72</w:t>
            </w:r>
          </w:p>
        </w:tc>
      </w:tr>
      <w:tr w:rsidR="00695F9B" w:rsidRPr="003A0728" w14:paraId="57E404D9" w14:textId="77777777" w:rsidTr="003A0728">
        <w:trPr>
          <w:trHeight w:val="92"/>
        </w:trPr>
        <w:tc>
          <w:tcPr>
            <w:tcW w:w="92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47F08B" w14:textId="77777777" w:rsidR="00695F9B" w:rsidRPr="003A0728" w:rsidRDefault="00695F9B" w:rsidP="003A0728">
            <w:pPr>
              <w:spacing w:after="0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695F9B" w:rsidRPr="003A0728" w14:paraId="6AFF1FE6" w14:textId="77777777" w:rsidTr="00B424A2">
        <w:trPr>
          <w:trHeight w:val="29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619AD884" w14:textId="77777777" w:rsidR="00695F9B" w:rsidRPr="003A0728" w:rsidRDefault="00C934D3" w:rsidP="003A0728">
            <w:pPr>
              <w:spacing w:after="0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3A0728">
              <w:rPr>
                <w:rFonts w:eastAsia="Times New Roman" w:cstheme="minorHAnsi"/>
                <w:color w:val="000000"/>
                <w:lang w:eastAsia="hr-HR"/>
              </w:rPr>
              <w:lastRenderedPageBreak/>
              <w:t xml:space="preserve">Ukupno prihodi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E7E6E6" w:fill="D8D8D8"/>
            <w:noWrap/>
            <w:vAlign w:val="bottom"/>
            <w:hideMark/>
          </w:tcPr>
          <w:p w14:paraId="0C711813" w14:textId="58004124" w:rsidR="00695F9B" w:rsidRPr="003A0728" w:rsidRDefault="00FA69E8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2.143.498,12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7E6E6" w:fill="D8D8D8"/>
            <w:noWrap/>
            <w:vAlign w:val="bottom"/>
            <w:hideMark/>
          </w:tcPr>
          <w:p w14:paraId="69B53564" w14:textId="6C1AE4B7" w:rsidR="00695F9B" w:rsidRPr="003A0728" w:rsidRDefault="00FA69E8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2.654.634,00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D8D8D8"/>
            <w:noWrap/>
            <w:vAlign w:val="bottom"/>
            <w:hideMark/>
          </w:tcPr>
          <w:p w14:paraId="67CE28C6" w14:textId="4D866B65" w:rsidR="00695F9B" w:rsidRPr="003A0728" w:rsidRDefault="00FA69E8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2.660.964,75</w:t>
            </w:r>
          </w:p>
        </w:tc>
      </w:tr>
      <w:tr w:rsidR="00695F9B" w:rsidRPr="003A0728" w14:paraId="0B29B6C0" w14:textId="77777777" w:rsidTr="00B424A2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DEEAF6"/>
            <w:vAlign w:val="center"/>
          </w:tcPr>
          <w:p w14:paraId="5877B0F1" w14:textId="659B95AB" w:rsidR="00695F9B" w:rsidRPr="003A0728" w:rsidRDefault="00CE50A9" w:rsidP="003A0728">
            <w:pPr>
              <w:spacing w:after="0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3A0728">
              <w:rPr>
                <w:rFonts w:eastAsia="Times New Roman" w:cstheme="minorHAnsi"/>
                <w:color w:val="000000"/>
                <w:lang w:eastAsia="hr-HR"/>
              </w:rPr>
              <w:t>Višak</w:t>
            </w:r>
            <w:r w:rsidR="0078321F" w:rsidRPr="003A0728">
              <w:rPr>
                <w:rFonts w:eastAsia="Times New Roman" w:cstheme="minorHAnsi"/>
                <w:color w:val="000000"/>
                <w:lang w:eastAsia="hr-HR"/>
              </w:rPr>
              <w:t>/manjak</w:t>
            </w:r>
            <w:r w:rsidRPr="003A0728">
              <w:rPr>
                <w:rFonts w:eastAsia="Times New Roman" w:cstheme="minorHAnsi"/>
                <w:color w:val="000000"/>
                <w:lang w:eastAsia="hr-HR"/>
              </w:rPr>
              <w:t xml:space="preserve"> iz prethodnih godina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7E6E6" w:fill="DEEAF6"/>
            <w:noWrap/>
            <w:vAlign w:val="bottom"/>
            <w:hideMark/>
          </w:tcPr>
          <w:p w14:paraId="02CBE718" w14:textId="0B25EEA0" w:rsidR="00695F9B" w:rsidRPr="003A0728" w:rsidRDefault="00FA69E8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17.151,84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E7E6E6" w:fill="DEEAF6"/>
            <w:noWrap/>
            <w:vAlign w:val="bottom"/>
            <w:hideMark/>
          </w:tcPr>
          <w:p w14:paraId="636D3984" w14:textId="3EFB6197" w:rsidR="00695F9B" w:rsidRPr="003A0728" w:rsidRDefault="00FA69E8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-23.131,72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E7E6E6" w:fill="DEEAF6"/>
            <w:noWrap/>
            <w:vAlign w:val="bottom"/>
            <w:hideMark/>
          </w:tcPr>
          <w:p w14:paraId="704466D4" w14:textId="2DB7E101" w:rsidR="00695F9B" w:rsidRPr="003A0728" w:rsidRDefault="003E46E4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3A0728">
              <w:rPr>
                <w:rFonts w:eastAsia="Times New Roman" w:cstheme="minorHAnsi"/>
                <w:color w:val="000000"/>
                <w:lang w:eastAsia="hr-HR"/>
              </w:rPr>
              <w:t xml:space="preserve">    -23.131,72</w:t>
            </w:r>
          </w:p>
        </w:tc>
      </w:tr>
      <w:tr w:rsidR="00695F9B" w:rsidRPr="003A0728" w14:paraId="411A06B7" w14:textId="77777777" w:rsidTr="00B424A2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548E3C" w14:textId="77777777" w:rsidR="00695F9B" w:rsidRPr="003A0728" w:rsidRDefault="00CE50A9" w:rsidP="003A0728">
            <w:pPr>
              <w:spacing w:after="0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3A0728">
              <w:rPr>
                <w:rFonts w:eastAsia="Times New Roman" w:cstheme="minorHAnsi"/>
                <w:color w:val="000000"/>
                <w:lang w:eastAsia="hr-HR"/>
              </w:rPr>
              <w:t>Ukupno rashodi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16D42" w14:textId="2179B7FD" w:rsidR="00695F9B" w:rsidRPr="003A0728" w:rsidRDefault="00FA69E8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2.183.781,68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7888" w14:textId="300AA206" w:rsidR="00695F9B" w:rsidRPr="003A0728" w:rsidRDefault="00FA69E8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2.653.127,04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E77B" w14:textId="65FBCBF7" w:rsidR="00695F9B" w:rsidRPr="003A0728" w:rsidRDefault="00FA69E8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2.656.163,45</w:t>
            </w:r>
          </w:p>
        </w:tc>
      </w:tr>
      <w:tr w:rsidR="00CE50A9" w:rsidRPr="003A0728" w14:paraId="4543B508" w14:textId="77777777" w:rsidTr="00B424A2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807AB1" w14:textId="77777777" w:rsidR="00CE50A9" w:rsidRPr="003A0728" w:rsidRDefault="00CE50A9" w:rsidP="003A0728">
            <w:pPr>
              <w:spacing w:after="0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3A0728">
              <w:rPr>
                <w:rFonts w:eastAsia="Times New Roman" w:cstheme="minorHAnsi"/>
                <w:color w:val="000000"/>
                <w:lang w:eastAsia="hr-HR"/>
              </w:rPr>
              <w:t xml:space="preserve">Višak/Manjak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F9FEF" w14:textId="5323163B" w:rsidR="00CE50A9" w:rsidRPr="003A0728" w:rsidRDefault="0078321F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3A0728">
              <w:rPr>
                <w:rFonts w:eastAsia="Times New Roman" w:cstheme="minorHAnsi"/>
                <w:color w:val="000000"/>
                <w:lang w:eastAsia="hr-HR"/>
              </w:rPr>
              <w:t xml:space="preserve">       </w:t>
            </w:r>
            <w:r w:rsidR="00FA69E8">
              <w:rPr>
                <w:rFonts w:eastAsia="Times New Roman" w:cstheme="minorHAnsi"/>
                <w:color w:val="000000"/>
                <w:lang w:eastAsia="hr-HR"/>
              </w:rPr>
              <w:t>-23.131,72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7602E" w14:textId="442269EB" w:rsidR="00CE50A9" w:rsidRPr="003A0728" w:rsidRDefault="00FA69E8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-21.624,76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17BB6" w14:textId="5A3DE2EC" w:rsidR="00CE50A9" w:rsidRPr="003A0728" w:rsidRDefault="00FA69E8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-18.330,42</w:t>
            </w:r>
          </w:p>
        </w:tc>
      </w:tr>
    </w:tbl>
    <w:p w14:paraId="5184CB6C" w14:textId="77777777" w:rsidR="00C934D3" w:rsidRPr="003A0728" w:rsidRDefault="00C934D3" w:rsidP="003A0728">
      <w:pPr>
        <w:pStyle w:val="Bezproreda"/>
        <w:spacing w:line="276" w:lineRule="auto"/>
        <w:jc w:val="both"/>
        <w:rPr>
          <w:rFonts w:cstheme="minorHAnsi"/>
        </w:rPr>
      </w:pPr>
    </w:p>
    <w:p w14:paraId="6E7CD987" w14:textId="7E81FDB5" w:rsidR="00695F9B" w:rsidRPr="003A0728" w:rsidRDefault="00695F9B" w:rsidP="003A0728">
      <w:pPr>
        <w:pStyle w:val="Bezproreda"/>
        <w:spacing w:line="276" w:lineRule="auto"/>
        <w:jc w:val="both"/>
        <w:rPr>
          <w:rFonts w:cstheme="minorHAnsi"/>
        </w:rPr>
      </w:pPr>
      <w:r w:rsidRPr="003A0728">
        <w:rPr>
          <w:rFonts w:cstheme="minorHAnsi"/>
        </w:rPr>
        <w:t xml:space="preserve">Prihodi </w:t>
      </w:r>
      <w:r w:rsidR="00C934D3" w:rsidRPr="003A0728">
        <w:rPr>
          <w:rFonts w:cstheme="minorHAnsi"/>
        </w:rPr>
        <w:t>poslovanja</w:t>
      </w:r>
      <w:r w:rsidRPr="003A0728">
        <w:rPr>
          <w:rFonts w:cstheme="minorHAnsi"/>
        </w:rPr>
        <w:t xml:space="preserve"> Osnovne škole Tomaša </w:t>
      </w:r>
      <w:r w:rsidR="003E46E4" w:rsidRPr="003A0728">
        <w:rPr>
          <w:rFonts w:cstheme="minorHAnsi"/>
        </w:rPr>
        <w:t>Goričanca Mala Subotica za 2024</w:t>
      </w:r>
      <w:r w:rsidRPr="003A0728">
        <w:rPr>
          <w:rFonts w:cstheme="minorHAnsi"/>
        </w:rPr>
        <w:t>. godinu pl</w:t>
      </w:r>
      <w:r w:rsidR="003D0B37">
        <w:rPr>
          <w:rFonts w:cstheme="minorHAnsi"/>
        </w:rPr>
        <w:t>anirani su u iznosu od 2.654.634,00</w:t>
      </w:r>
      <w:r w:rsidR="003E46E4" w:rsidRPr="003A0728">
        <w:rPr>
          <w:rFonts w:cstheme="minorHAnsi"/>
        </w:rPr>
        <w:t xml:space="preserve"> €, a</w:t>
      </w:r>
      <w:r w:rsidRPr="003A0728">
        <w:rPr>
          <w:rFonts w:cstheme="minorHAnsi"/>
        </w:rPr>
        <w:t xml:space="preserve"> u</w:t>
      </w:r>
      <w:r w:rsidR="003E46E4" w:rsidRPr="003A0728">
        <w:rPr>
          <w:rFonts w:cstheme="minorHAnsi"/>
        </w:rPr>
        <w:t xml:space="preserve"> izvještajnom razdoblju ostvareni su u  iznosu od </w:t>
      </w:r>
      <w:r w:rsidR="003D0B37">
        <w:rPr>
          <w:rFonts w:cstheme="minorHAnsi"/>
        </w:rPr>
        <w:t>2.660.964,75 € uz izvršenje plana od 100</w:t>
      </w:r>
      <w:r w:rsidR="003E46E4" w:rsidRPr="003A0728">
        <w:rPr>
          <w:rFonts w:cstheme="minorHAnsi"/>
        </w:rPr>
        <w:t>%.</w:t>
      </w:r>
      <w:r w:rsidRPr="003A0728">
        <w:rPr>
          <w:rFonts w:cstheme="minorHAnsi"/>
        </w:rPr>
        <w:t xml:space="preserve"> U odnosu na prethodn</w:t>
      </w:r>
      <w:r w:rsidR="003D0B37">
        <w:rPr>
          <w:rFonts w:cstheme="minorHAnsi"/>
        </w:rPr>
        <w:t>u godinu prihodi su veći za 24</w:t>
      </w:r>
      <w:r w:rsidR="003E46E4" w:rsidRPr="003A0728">
        <w:rPr>
          <w:rFonts w:cstheme="minorHAnsi"/>
        </w:rPr>
        <w:t>%.</w:t>
      </w:r>
    </w:p>
    <w:p w14:paraId="46B21471" w14:textId="5A7481B5" w:rsidR="00695F9B" w:rsidRPr="003A0728" w:rsidRDefault="00695F9B" w:rsidP="003A0728">
      <w:pPr>
        <w:pStyle w:val="Bezproreda"/>
        <w:spacing w:line="276" w:lineRule="auto"/>
        <w:jc w:val="both"/>
        <w:rPr>
          <w:rFonts w:cstheme="minorHAnsi"/>
        </w:rPr>
      </w:pPr>
      <w:r w:rsidRPr="003A0728">
        <w:rPr>
          <w:rFonts w:cstheme="minorHAnsi"/>
        </w:rPr>
        <w:t xml:space="preserve">Rashodi poslovanja planirani su u </w:t>
      </w:r>
      <w:r w:rsidR="003E46E4" w:rsidRPr="003A0728">
        <w:rPr>
          <w:rFonts w:cstheme="minorHAnsi"/>
        </w:rPr>
        <w:t>iznosu od 2.</w:t>
      </w:r>
      <w:r w:rsidR="003D0B37">
        <w:rPr>
          <w:rFonts w:cstheme="minorHAnsi"/>
        </w:rPr>
        <w:t>653.127,04</w:t>
      </w:r>
      <w:r w:rsidRPr="003A0728">
        <w:rPr>
          <w:rFonts w:cstheme="minorHAnsi"/>
        </w:rPr>
        <w:t xml:space="preserve"> €</w:t>
      </w:r>
      <w:r w:rsidR="00846333" w:rsidRPr="003A0728">
        <w:rPr>
          <w:rFonts w:cstheme="minorHAnsi"/>
        </w:rPr>
        <w:t>,</w:t>
      </w:r>
      <w:r w:rsidRPr="003A0728">
        <w:rPr>
          <w:rFonts w:cstheme="minorHAnsi"/>
        </w:rPr>
        <w:t xml:space="preserve"> a ostvareni su u iznosu od </w:t>
      </w:r>
      <w:r w:rsidR="003D0B37">
        <w:rPr>
          <w:rFonts w:cstheme="minorHAnsi"/>
        </w:rPr>
        <w:t>2.656.163,45 € što je  100</w:t>
      </w:r>
      <w:r w:rsidR="00873EB5" w:rsidRPr="003A0728">
        <w:rPr>
          <w:rFonts w:cstheme="minorHAnsi"/>
        </w:rPr>
        <w:t xml:space="preserve"> %</w:t>
      </w:r>
      <w:r w:rsidRPr="003A0728">
        <w:rPr>
          <w:rFonts w:cstheme="minorHAnsi"/>
        </w:rPr>
        <w:t xml:space="preserve"> planiranih rashoda. U odnosu na pretho</w:t>
      </w:r>
      <w:r w:rsidR="003D0B37">
        <w:rPr>
          <w:rFonts w:cstheme="minorHAnsi"/>
        </w:rPr>
        <w:t>dnu godinu rashodi su veći za 22</w:t>
      </w:r>
      <w:r w:rsidRPr="003A0728">
        <w:rPr>
          <w:rFonts w:cstheme="minorHAnsi"/>
        </w:rPr>
        <w:t>%.</w:t>
      </w:r>
    </w:p>
    <w:p w14:paraId="64E82AF9" w14:textId="1E484CB0" w:rsidR="00FD2FBD" w:rsidRPr="003A0728" w:rsidRDefault="00873EB5" w:rsidP="003A0728">
      <w:pPr>
        <w:pStyle w:val="Bezproreda"/>
        <w:spacing w:line="276" w:lineRule="auto"/>
        <w:jc w:val="both"/>
        <w:rPr>
          <w:rFonts w:cstheme="minorHAnsi"/>
        </w:rPr>
      </w:pPr>
      <w:r w:rsidRPr="003A0728">
        <w:rPr>
          <w:rFonts w:cstheme="minorHAnsi"/>
        </w:rPr>
        <w:t xml:space="preserve">Ostvaren je pozitivan </w:t>
      </w:r>
      <w:r w:rsidR="00695F9B" w:rsidRPr="003A0728">
        <w:rPr>
          <w:rFonts w:cstheme="minorHAnsi"/>
        </w:rPr>
        <w:t xml:space="preserve">rezultat </w:t>
      </w:r>
      <w:r w:rsidR="003D0B37">
        <w:rPr>
          <w:rFonts w:cstheme="minorHAnsi"/>
        </w:rPr>
        <w:t xml:space="preserve">za </w:t>
      </w:r>
      <w:r w:rsidRPr="003A0728">
        <w:rPr>
          <w:rFonts w:cstheme="minorHAnsi"/>
        </w:rPr>
        <w:t xml:space="preserve"> 2024</w:t>
      </w:r>
      <w:r w:rsidR="00695F9B" w:rsidRPr="003A0728">
        <w:rPr>
          <w:rFonts w:cstheme="minorHAnsi"/>
        </w:rPr>
        <w:t xml:space="preserve">. godine u </w:t>
      </w:r>
      <w:r w:rsidR="00846333" w:rsidRPr="003A0728">
        <w:rPr>
          <w:rFonts w:cstheme="minorHAnsi"/>
        </w:rPr>
        <w:t>i</w:t>
      </w:r>
      <w:r w:rsidR="00695F9B" w:rsidRPr="003A0728">
        <w:rPr>
          <w:rFonts w:cstheme="minorHAnsi"/>
        </w:rPr>
        <w:t xml:space="preserve">znosu </w:t>
      </w:r>
      <w:r w:rsidR="003D0B37">
        <w:rPr>
          <w:rFonts w:cstheme="minorHAnsi"/>
        </w:rPr>
        <w:t>4.801,30</w:t>
      </w:r>
      <w:r w:rsidR="00695F9B" w:rsidRPr="003A0728">
        <w:rPr>
          <w:rFonts w:cstheme="minorHAnsi"/>
        </w:rPr>
        <w:t xml:space="preserve"> € što je</w:t>
      </w:r>
      <w:r w:rsidR="003D0B37">
        <w:rPr>
          <w:rFonts w:cstheme="minorHAnsi"/>
        </w:rPr>
        <w:t xml:space="preserve"> </w:t>
      </w:r>
      <w:r w:rsidR="00695F9B" w:rsidRPr="003A0728">
        <w:rPr>
          <w:rFonts w:cstheme="minorHAnsi"/>
        </w:rPr>
        <w:t xml:space="preserve"> </w:t>
      </w:r>
      <w:r w:rsidR="003D0B37">
        <w:rPr>
          <w:rFonts w:cstheme="minorHAnsi"/>
        </w:rPr>
        <w:t>219%</w:t>
      </w:r>
      <w:r w:rsidRPr="003A0728">
        <w:rPr>
          <w:rFonts w:cstheme="minorHAnsi"/>
        </w:rPr>
        <w:t xml:space="preserve"> </w:t>
      </w:r>
      <w:r w:rsidR="003D0B37">
        <w:rPr>
          <w:rFonts w:cstheme="minorHAnsi"/>
        </w:rPr>
        <w:t>više od planiranog rezultata</w:t>
      </w:r>
      <w:r w:rsidR="00FD2FBD" w:rsidRPr="003A0728">
        <w:rPr>
          <w:rFonts w:cstheme="minorHAnsi"/>
        </w:rPr>
        <w:t>.</w:t>
      </w:r>
      <w:r w:rsidR="003A0728">
        <w:rPr>
          <w:rFonts w:cstheme="minorHAnsi"/>
        </w:rPr>
        <w:t xml:space="preserve"> </w:t>
      </w:r>
      <w:r w:rsidRPr="003A0728">
        <w:rPr>
          <w:rFonts w:cstheme="minorHAnsi"/>
        </w:rPr>
        <w:t xml:space="preserve">Preneseni manjak od 23.131,72 </w:t>
      </w:r>
      <w:r w:rsidR="00FD2FBD" w:rsidRPr="003A0728">
        <w:rPr>
          <w:rFonts w:cstheme="minorHAnsi"/>
        </w:rPr>
        <w:t xml:space="preserve">€ </w:t>
      </w:r>
      <w:r w:rsidR="003D0B37">
        <w:rPr>
          <w:rFonts w:cstheme="minorHAnsi"/>
        </w:rPr>
        <w:t>čini višak pomoći EU u iznosu 3.474,62 € i manjak</w:t>
      </w:r>
      <w:r w:rsidR="00DE2212">
        <w:rPr>
          <w:rFonts w:cstheme="minorHAnsi"/>
        </w:rPr>
        <w:t xml:space="preserve"> u iznosi 26.606,34 € kojeg čine</w:t>
      </w:r>
      <w:r w:rsidR="003D0B37">
        <w:rPr>
          <w:rFonts w:cstheme="minorHAnsi"/>
        </w:rPr>
        <w:t xml:space="preserve"> op</w:t>
      </w:r>
      <w:r w:rsidR="00DE2212">
        <w:rPr>
          <w:rFonts w:cstheme="minorHAnsi"/>
        </w:rPr>
        <w:t>ćih prihodi i primici</w:t>
      </w:r>
      <w:r w:rsidR="003D0B37">
        <w:rPr>
          <w:rFonts w:cstheme="minorHAnsi"/>
        </w:rPr>
        <w:t xml:space="preserve"> 454,49</w:t>
      </w:r>
      <w:r w:rsidR="00DE2212">
        <w:rPr>
          <w:rFonts w:cstheme="minorHAnsi"/>
        </w:rPr>
        <w:t xml:space="preserve"> €, decentralizirana sredstva 7.489,47 i ostale pomoći 18.662,38 €</w:t>
      </w:r>
      <w:r w:rsidRPr="003A0728">
        <w:rPr>
          <w:rFonts w:cstheme="minorHAnsi"/>
        </w:rPr>
        <w:t xml:space="preserve">. </w:t>
      </w:r>
      <w:r w:rsidR="00DE2212">
        <w:rPr>
          <w:rFonts w:cstheme="minorHAnsi"/>
        </w:rPr>
        <w:t>U tekućoj godini iskorišten je sav preneseni rezultat. Prenesenim viškom  pokriveni su rashodi u tekućoj godini a preneseni manjkovi pokriveni su prihodom</w:t>
      </w:r>
      <w:r w:rsidR="007D17A0">
        <w:rPr>
          <w:rFonts w:cstheme="minorHAnsi"/>
        </w:rPr>
        <w:t xml:space="preserve"> u tekućoj </w:t>
      </w:r>
      <w:r w:rsidR="00DE2212">
        <w:rPr>
          <w:rFonts w:cstheme="minorHAnsi"/>
        </w:rPr>
        <w:t xml:space="preserve">godini.  </w:t>
      </w:r>
      <w:r w:rsidR="00FD2FBD" w:rsidRPr="003A0728">
        <w:rPr>
          <w:rFonts w:cstheme="minorHAnsi"/>
        </w:rPr>
        <w:t>Rezultat koji se</w:t>
      </w:r>
      <w:r w:rsidR="007D17A0">
        <w:rPr>
          <w:rFonts w:cstheme="minorHAnsi"/>
        </w:rPr>
        <w:t xml:space="preserve"> prenosi u sljedeće razdoblje je manjak u  iznosu </w:t>
      </w:r>
      <w:r w:rsidR="00DE2212">
        <w:rPr>
          <w:rFonts w:cstheme="minorHAnsi"/>
        </w:rPr>
        <w:t xml:space="preserve"> -18.330,42</w:t>
      </w:r>
      <w:r w:rsidR="007D17A0">
        <w:rPr>
          <w:rFonts w:cstheme="minorHAnsi"/>
        </w:rPr>
        <w:t xml:space="preserve"> €</w:t>
      </w:r>
      <w:r w:rsidR="00AE0EB3">
        <w:rPr>
          <w:rFonts w:cstheme="minorHAnsi"/>
        </w:rPr>
        <w:t xml:space="preserve"> </w:t>
      </w:r>
      <w:r w:rsidR="007D17A0">
        <w:rPr>
          <w:rFonts w:cstheme="minorHAnsi"/>
        </w:rPr>
        <w:t>a</w:t>
      </w:r>
      <w:r w:rsidR="00FD2FBD" w:rsidRPr="003A0728">
        <w:rPr>
          <w:rFonts w:cstheme="minorHAnsi"/>
        </w:rPr>
        <w:t xml:space="preserve"> čine </w:t>
      </w:r>
      <w:r w:rsidR="00AE0EB3">
        <w:rPr>
          <w:rFonts w:cstheme="minorHAnsi"/>
        </w:rPr>
        <w:t xml:space="preserve">ga višak od pomoći EU 2.534,03 € i donacija 520 €,   € te </w:t>
      </w:r>
      <w:r w:rsidR="007D17A0">
        <w:rPr>
          <w:rFonts w:cstheme="minorHAnsi"/>
        </w:rPr>
        <w:t>manjak</w:t>
      </w:r>
      <w:r w:rsidR="00DE2212">
        <w:rPr>
          <w:rFonts w:cstheme="minorHAnsi"/>
        </w:rPr>
        <w:t xml:space="preserve"> opći</w:t>
      </w:r>
      <w:r w:rsidR="007D17A0">
        <w:rPr>
          <w:rFonts w:cstheme="minorHAnsi"/>
        </w:rPr>
        <w:t xml:space="preserve">h prihoda i primitaka u iznosu </w:t>
      </w:r>
      <w:r w:rsidR="00DE2212">
        <w:rPr>
          <w:rFonts w:cstheme="minorHAnsi"/>
        </w:rPr>
        <w:t xml:space="preserve"> </w:t>
      </w:r>
      <w:r w:rsidR="007D17A0">
        <w:rPr>
          <w:rFonts w:cstheme="minorHAnsi"/>
        </w:rPr>
        <w:t>-</w:t>
      </w:r>
      <w:r w:rsidR="00DE2212">
        <w:rPr>
          <w:rFonts w:cstheme="minorHAnsi"/>
        </w:rPr>
        <w:t>2.940,79 €</w:t>
      </w:r>
      <w:r w:rsidR="00FD2FBD" w:rsidRPr="003A0728">
        <w:rPr>
          <w:rFonts w:cstheme="minorHAnsi"/>
        </w:rPr>
        <w:t xml:space="preserve"> za građanski odgoj</w:t>
      </w:r>
      <w:r w:rsidR="00DE2212">
        <w:rPr>
          <w:rFonts w:cstheme="minorHAnsi"/>
        </w:rPr>
        <w:t>, pomoćnike u nastavi za prosinac</w:t>
      </w:r>
      <w:r w:rsidR="00FD2FBD" w:rsidRPr="003A0728">
        <w:rPr>
          <w:rFonts w:cstheme="minorHAnsi"/>
        </w:rPr>
        <w:t>,</w:t>
      </w:r>
      <w:r w:rsidR="00DE2212">
        <w:rPr>
          <w:rFonts w:cstheme="minorHAnsi"/>
        </w:rPr>
        <w:t xml:space="preserve"> troškovi dogradnje škole; </w:t>
      </w:r>
      <w:r w:rsidR="007D17A0">
        <w:rPr>
          <w:rFonts w:cstheme="minorHAnsi"/>
        </w:rPr>
        <w:t>decentraliziranih</w:t>
      </w:r>
      <w:r w:rsidR="00DE2212">
        <w:rPr>
          <w:rFonts w:cstheme="minorHAnsi"/>
        </w:rPr>
        <w:t xml:space="preserve"> sredstva </w:t>
      </w:r>
      <w:r w:rsidR="007D17A0">
        <w:rPr>
          <w:rFonts w:cstheme="minorHAnsi"/>
        </w:rPr>
        <w:t>u iznosu  -</w:t>
      </w:r>
      <w:r w:rsidR="00DE2212">
        <w:rPr>
          <w:rFonts w:cstheme="minorHAnsi"/>
        </w:rPr>
        <w:t xml:space="preserve">8.845,64 € za energente za prosinac; </w:t>
      </w:r>
      <w:r w:rsidR="00AE0EB3">
        <w:rPr>
          <w:rFonts w:cstheme="minorHAnsi"/>
        </w:rPr>
        <w:t xml:space="preserve">ostale pomoći </w:t>
      </w:r>
      <w:r w:rsidR="007D17A0">
        <w:rPr>
          <w:rFonts w:cstheme="minorHAnsi"/>
        </w:rPr>
        <w:t>u iznosu -</w:t>
      </w:r>
      <w:r w:rsidR="00AE0EB3">
        <w:rPr>
          <w:rFonts w:cstheme="minorHAnsi"/>
        </w:rPr>
        <w:t xml:space="preserve">9.598,02 € za pomoćnike u nastavi, investicijsko održavanje, </w:t>
      </w:r>
      <w:r w:rsidR="00FD2FBD" w:rsidRPr="003A0728">
        <w:rPr>
          <w:rFonts w:cstheme="minorHAnsi"/>
        </w:rPr>
        <w:t>tro</w:t>
      </w:r>
      <w:r w:rsidR="007D17A0">
        <w:rPr>
          <w:rFonts w:cstheme="minorHAnsi"/>
        </w:rPr>
        <w:t>škove</w:t>
      </w:r>
      <w:r w:rsidR="00AE0EB3">
        <w:rPr>
          <w:rFonts w:cstheme="minorHAnsi"/>
        </w:rPr>
        <w:t xml:space="preserve"> prehrane učenika za prosinac</w:t>
      </w:r>
      <w:r w:rsidR="00FD2FBD" w:rsidRPr="003A0728">
        <w:rPr>
          <w:rFonts w:cstheme="minorHAnsi"/>
        </w:rPr>
        <w:t>,</w:t>
      </w:r>
      <w:r w:rsidR="00AE0EB3">
        <w:rPr>
          <w:rFonts w:cstheme="minorHAnsi"/>
        </w:rPr>
        <w:t xml:space="preserve"> progra</w:t>
      </w:r>
      <w:r w:rsidR="007D17A0">
        <w:rPr>
          <w:rFonts w:cstheme="minorHAnsi"/>
        </w:rPr>
        <w:t>m predškole i materijalna prava.</w:t>
      </w:r>
      <w:r w:rsidR="00AE0EB3">
        <w:rPr>
          <w:rFonts w:cstheme="minorHAnsi"/>
        </w:rPr>
        <w:t xml:space="preserve"> </w:t>
      </w:r>
    </w:p>
    <w:p w14:paraId="02185801" w14:textId="6B2BCA12" w:rsidR="0041496B" w:rsidRPr="003A0728" w:rsidRDefault="0041496B" w:rsidP="003A0728">
      <w:pPr>
        <w:pStyle w:val="Bezproreda"/>
        <w:spacing w:line="276" w:lineRule="auto"/>
        <w:jc w:val="both"/>
        <w:rPr>
          <w:rFonts w:cstheme="minorHAnsi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1418"/>
        <w:gridCol w:w="1417"/>
        <w:gridCol w:w="1422"/>
        <w:gridCol w:w="563"/>
        <w:gridCol w:w="567"/>
      </w:tblGrid>
      <w:tr w:rsidR="00F52EEC" w:rsidRPr="003A0728" w14:paraId="1A1519F5" w14:textId="77777777" w:rsidTr="00F52EEC">
        <w:trPr>
          <w:trHeight w:val="240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4BD75" w14:textId="77777777" w:rsidR="00F52EEC" w:rsidRPr="003A0728" w:rsidRDefault="00F52EEC" w:rsidP="003A0728">
            <w:pPr>
              <w:spacing w:after="0"/>
              <w:jc w:val="both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3A072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IZVRŠENJE PRIHODA PO EKONOMSKOJ KLASIFIKACIJI</w:t>
            </w:r>
          </w:p>
        </w:tc>
      </w:tr>
      <w:tr w:rsidR="00F52EEC" w:rsidRPr="003A0728" w14:paraId="14A8DE12" w14:textId="77777777" w:rsidTr="000F52AA">
        <w:trPr>
          <w:trHeight w:val="2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19E80" w14:textId="77777777" w:rsidR="00F52EEC" w:rsidRPr="003A0728" w:rsidRDefault="00F52EEC" w:rsidP="003A0728">
            <w:pPr>
              <w:spacing w:after="0"/>
              <w:jc w:val="both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A6DD1" w14:textId="77777777" w:rsidR="00F52EEC" w:rsidRPr="003A0728" w:rsidRDefault="00F52EEC" w:rsidP="003A0728">
            <w:pPr>
              <w:spacing w:after="0"/>
              <w:jc w:val="both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3B22E" w14:textId="77777777" w:rsidR="00F52EEC" w:rsidRPr="003A0728" w:rsidRDefault="00F52EEC" w:rsidP="003A0728">
            <w:pPr>
              <w:spacing w:after="0"/>
              <w:jc w:val="both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784F3" w14:textId="77777777" w:rsidR="00F52EEC" w:rsidRPr="003A0728" w:rsidRDefault="00F52EEC" w:rsidP="003A0728">
            <w:pPr>
              <w:spacing w:after="0"/>
              <w:jc w:val="both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42A08" w14:textId="77777777" w:rsidR="00F52EEC" w:rsidRPr="003A0728" w:rsidRDefault="00F52EEC" w:rsidP="003A0728">
            <w:pPr>
              <w:spacing w:after="0"/>
              <w:jc w:val="both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D40E2" w14:textId="77777777" w:rsidR="00F52EEC" w:rsidRPr="003A0728" w:rsidRDefault="00F52EEC" w:rsidP="003A0728">
            <w:pPr>
              <w:spacing w:after="0"/>
              <w:jc w:val="both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EFEFB" w14:textId="77777777" w:rsidR="00F52EEC" w:rsidRPr="003A0728" w:rsidRDefault="00F52EEC" w:rsidP="003A0728">
            <w:pPr>
              <w:spacing w:after="0"/>
              <w:jc w:val="both"/>
              <w:rPr>
                <w:rFonts w:eastAsia="Times New Roman" w:cstheme="minorHAnsi"/>
                <w:lang w:eastAsia="hr-HR"/>
              </w:rPr>
            </w:pPr>
          </w:p>
        </w:tc>
      </w:tr>
      <w:tr w:rsidR="00F52EEC" w:rsidRPr="003A0728" w14:paraId="367DCE3A" w14:textId="77777777" w:rsidTr="000F52AA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2D5C07D2" w14:textId="77777777" w:rsidR="00F52EEC" w:rsidRPr="00BB2010" w:rsidRDefault="00F52EEC" w:rsidP="00B424A2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Konto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3EA4CE5E" w14:textId="77777777" w:rsidR="00F52EEC" w:rsidRPr="00BB2010" w:rsidRDefault="00F52EEC" w:rsidP="00B424A2">
            <w:pPr>
              <w:spacing w:after="0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Naziv prihoda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538DC623" w14:textId="538AC3C4" w:rsidR="00F52EEC" w:rsidRPr="00BB2010" w:rsidRDefault="000E6FC0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 xml:space="preserve">Izvršenje </w:t>
            </w:r>
            <w:r w:rsidR="00C72B77" w:rsidRPr="00BB2010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 xml:space="preserve"> 2023</w:t>
            </w:r>
            <w:r w:rsidR="00F52EEC" w:rsidRPr="00BB2010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00F70C54" w14:textId="3FB386A3" w:rsidR="00F52EEC" w:rsidRPr="00BB2010" w:rsidRDefault="00C72B77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Plan 2024</w:t>
            </w:r>
            <w:r w:rsidR="00F52EEC" w:rsidRPr="00BB2010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 xml:space="preserve">. 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20A09D4D" w14:textId="1E86EF96" w:rsidR="00F52EEC" w:rsidRPr="00BB2010" w:rsidRDefault="00F52EEC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Izvršenje</w:t>
            </w:r>
            <w:r w:rsidR="000E6FC0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C72B77" w:rsidRPr="00BB2010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2024</w:t>
            </w:r>
            <w:r w:rsidRPr="00BB2010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4CBF61F3" w14:textId="77777777" w:rsidR="00F52EEC" w:rsidRPr="00BB2010" w:rsidRDefault="00F52EEC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 xml:space="preserve">Indeks 5/3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651D777C" w14:textId="77777777" w:rsidR="00F52EEC" w:rsidRPr="00BB2010" w:rsidRDefault="00F52EEC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Indeks 5/4</w:t>
            </w:r>
          </w:p>
        </w:tc>
      </w:tr>
      <w:tr w:rsidR="00F52EEC" w:rsidRPr="003A0728" w14:paraId="7941A7B4" w14:textId="77777777" w:rsidTr="000F52AA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135D5C6B" w14:textId="77777777" w:rsidR="00F52EEC" w:rsidRPr="00BB2010" w:rsidRDefault="00F52EEC" w:rsidP="00B424A2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7FAF2413" w14:textId="77777777" w:rsidR="00F52EEC" w:rsidRPr="00BB2010" w:rsidRDefault="00F52EEC" w:rsidP="003A0728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7D07D75F" w14:textId="77777777" w:rsidR="00F52EEC" w:rsidRPr="00BB2010" w:rsidRDefault="00F52EEC" w:rsidP="003A0728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30DE5C10" w14:textId="77777777" w:rsidR="00F52EEC" w:rsidRPr="00BB2010" w:rsidRDefault="00F52EEC" w:rsidP="003A0728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5D7E91BA" w14:textId="77777777" w:rsidR="00F52EEC" w:rsidRPr="00BB2010" w:rsidRDefault="00F52EEC" w:rsidP="003A0728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5BA96416" w14:textId="77777777" w:rsidR="00F52EEC" w:rsidRPr="00BB2010" w:rsidRDefault="00F52EEC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0C717FD4" w14:textId="77777777" w:rsidR="00F52EEC" w:rsidRPr="00BB2010" w:rsidRDefault="00F52EEC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%</w:t>
            </w:r>
          </w:p>
        </w:tc>
      </w:tr>
      <w:tr w:rsidR="00F52EEC" w:rsidRPr="003A0728" w14:paraId="5A88EFDE" w14:textId="77777777" w:rsidTr="000F52A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29FCF" w:fill="BDD7EE"/>
            <w:vAlign w:val="center"/>
            <w:hideMark/>
          </w:tcPr>
          <w:p w14:paraId="66CB8D5D" w14:textId="77777777" w:rsidR="00F52EEC" w:rsidRPr="00BB2010" w:rsidRDefault="00F52EEC" w:rsidP="00B424A2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29FCF" w:fill="BDD7EE"/>
            <w:vAlign w:val="center"/>
            <w:hideMark/>
          </w:tcPr>
          <w:p w14:paraId="29FB150F" w14:textId="77777777" w:rsidR="00F52EEC" w:rsidRPr="00BB2010" w:rsidRDefault="00F52EEC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29FCF" w:fill="BDD7EE"/>
            <w:noWrap/>
            <w:vAlign w:val="center"/>
            <w:hideMark/>
          </w:tcPr>
          <w:p w14:paraId="2063A5FC" w14:textId="2941376E" w:rsidR="00F52EEC" w:rsidRPr="00BB2010" w:rsidRDefault="000B6E4B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2.143.498,12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29FCF" w:fill="BDD7EE"/>
            <w:noWrap/>
            <w:vAlign w:val="center"/>
            <w:hideMark/>
          </w:tcPr>
          <w:p w14:paraId="29E37D9B" w14:textId="5E41482F" w:rsidR="00F52EEC" w:rsidRPr="00BB2010" w:rsidRDefault="000B6E4B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2.654.634,00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29FCF" w:fill="BDD7EE"/>
            <w:noWrap/>
            <w:vAlign w:val="center"/>
            <w:hideMark/>
          </w:tcPr>
          <w:p w14:paraId="17565A9C" w14:textId="51FE6F6B" w:rsidR="00F52EEC" w:rsidRPr="00BB2010" w:rsidRDefault="000B6E4B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2.660.964,75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6DEC818" w14:textId="49B64419" w:rsidR="00F52EEC" w:rsidRPr="00BB2010" w:rsidRDefault="000B6E4B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BAF2E1E" w14:textId="11F1989A" w:rsidR="00F52EEC" w:rsidRPr="00BB2010" w:rsidRDefault="000B6E4B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</w:t>
            </w:r>
          </w:p>
        </w:tc>
      </w:tr>
      <w:tr w:rsidR="00F52EEC" w:rsidRPr="003A0728" w14:paraId="2C6C805D" w14:textId="77777777" w:rsidTr="007D17A0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7500" w:fill="F2F2F2"/>
            <w:vAlign w:val="center"/>
            <w:hideMark/>
          </w:tcPr>
          <w:p w14:paraId="5266EF9D" w14:textId="77777777" w:rsidR="00F52EEC" w:rsidRPr="00BB2010" w:rsidRDefault="00F52EEC" w:rsidP="00B424A2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7500" w:fill="F2F2F2"/>
            <w:vAlign w:val="center"/>
            <w:hideMark/>
          </w:tcPr>
          <w:p w14:paraId="52033D50" w14:textId="77777777" w:rsidR="00F52EEC" w:rsidRPr="00BB2010" w:rsidRDefault="00F52EEC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Pomoći iz inozemstva i od subjekata unutar općeg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7500" w:fill="F2F2F2"/>
            <w:noWrap/>
            <w:vAlign w:val="center"/>
          </w:tcPr>
          <w:p w14:paraId="615419C0" w14:textId="1DDB0339" w:rsidR="00F52EEC" w:rsidRPr="00BB2010" w:rsidRDefault="007D17A0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2.017.494,88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7500" w:fill="F2F2F2"/>
            <w:noWrap/>
            <w:vAlign w:val="center"/>
          </w:tcPr>
          <w:p w14:paraId="726CC5F8" w14:textId="76175C5F" w:rsidR="00F52EEC" w:rsidRPr="00BB2010" w:rsidRDefault="007D17A0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2.502.757,00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7500" w:fill="F2F2F2"/>
            <w:noWrap/>
            <w:vAlign w:val="center"/>
            <w:hideMark/>
          </w:tcPr>
          <w:p w14:paraId="51F3B886" w14:textId="1B82D76F" w:rsidR="00F52EEC" w:rsidRPr="00BB2010" w:rsidRDefault="007D17A0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2.510.332,16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FAC938" w14:textId="290B5CCD" w:rsidR="00F52EEC" w:rsidRPr="00BB2010" w:rsidRDefault="007D17A0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062955" w14:textId="3247D68C" w:rsidR="00F52EEC" w:rsidRPr="00BB2010" w:rsidRDefault="007D17A0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</w:t>
            </w:r>
          </w:p>
        </w:tc>
      </w:tr>
      <w:tr w:rsidR="00F52EEC" w:rsidRPr="003A0728" w14:paraId="181F8613" w14:textId="77777777" w:rsidTr="007D17A0">
        <w:trPr>
          <w:trHeight w:val="3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F2F2F2"/>
            <w:noWrap/>
            <w:vAlign w:val="center"/>
            <w:hideMark/>
          </w:tcPr>
          <w:p w14:paraId="59854B7F" w14:textId="77777777" w:rsidR="00F52EEC" w:rsidRPr="00BB2010" w:rsidRDefault="00F52EEC" w:rsidP="00B424A2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2F2F2"/>
            <w:noWrap/>
            <w:vAlign w:val="center"/>
            <w:hideMark/>
          </w:tcPr>
          <w:p w14:paraId="69AE2D90" w14:textId="77777777" w:rsidR="00F52EEC" w:rsidRPr="00BB2010" w:rsidRDefault="00F52EEC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Prihodi od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2F2F2"/>
            <w:noWrap/>
            <w:vAlign w:val="center"/>
          </w:tcPr>
          <w:p w14:paraId="5A16D2C4" w14:textId="43AE76D5" w:rsidR="00F52EEC" w:rsidRPr="00BB2010" w:rsidRDefault="007D17A0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18,28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2F2F2"/>
            <w:noWrap/>
            <w:vAlign w:val="center"/>
          </w:tcPr>
          <w:p w14:paraId="38A080CC" w14:textId="171197AF" w:rsidR="00F52EEC" w:rsidRPr="00BB2010" w:rsidRDefault="007D17A0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2F2F2"/>
            <w:noWrap/>
            <w:vAlign w:val="center"/>
            <w:hideMark/>
          </w:tcPr>
          <w:p w14:paraId="0079D28D" w14:textId="009A58AF" w:rsidR="00F52EEC" w:rsidRPr="00BB2010" w:rsidRDefault="007D17A0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16,33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8F26CA" w14:textId="54A48897" w:rsidR="00F52EEC" w:rsidRPr="00BB2010" w:rsidRDefault="007D17A0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CFFCBB" w14:textId="247DAD25" w:rsidR="00F52EEC" w:rsidRPr="00BB2010" w:rsidRDefault="007D17A0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102</w:t>
            </w:r>
          </w:p>
        </w:tc>
      </w:tr>
      <w:tr w:rsidR="00F52EEC" w:rsidRPr="003A0728" w14:paraId="12B1E034" w14:textId="77777777" w:rsidTr="007D17A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7500" w:fill="F2F2F2"/>
            <w:noWrap/>
            <w:vAlign w:val="center"/>
            <w:hideMark/>
          </w:tcPr>
          <w:p w14:paraId="0C674F5D" w14:textId="77777777" w:rsidR="00F52EEC" w:rsidRPr="00BB2010" w:rsidRDefault="00F52EEC" w:rsidP="00B424A2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7500" w:fill="F2F2F2"/>
            <w:noWrap/>
            <w:vAlign w:val="center"/>
            <w:hideMark/>
          </w:tcPr>
          <w:p w14:paraId="725C48B2" w14:textId="77777777" w:rsidR="00F52EEC" w:rsidRPr="00BB2010" w:rsidRDefault="00F52EEC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Prihodi po posebnim propisima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7500" w:fill="F2F2F2"/>
            <w:noWrap/>
            <w:vAlign w:val="center"/>
          </w:tcPr>
          <w:p w14:paraId="595DD16B" w14:textId="59C97C60" w:rsidR="00F52EEC" w:rsidRPr="00BB2010" w:rsidRDefault="007D17A0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18.541,73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7500" w:fill="F2F2F2"/>
            <w:noWrap/>
            <w:vAlign w:val="center"/>
          </w:tcPr>
          <w:p w14:paraId="7F37E057" w14:textId="21B55BE6" w:rsidR="00F52EEC" w:rsidRPr="00BB2010" w:rsidRDefault="007D17A0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14.425,00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7500" w:fill="F2F2F2"/>
            <w:noWrap/>
            <w:vAlign w:val="center"/>
          </w:tcPr>
          <w:p w14:paraId="1DA66E15" w14:textId="4593450B" w:rsidR="00F52EEC" w:rsidRPr="00BB2010" w:rsidRDefault="007D17A0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14.931,60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D9D481" w14:textId="6EABD314" w:rsidR="00F52EEC" w:rsidRPr="00BB2010" w:rsidRDefault="007D17A0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BA072C" w14:textId="7D3B928B" w:rsidR="00F52EEC" w:rsidRPr="00BB2010" w:rsidRDefault="007D17A0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104</w:t>
            </w:r>
          </w:p>
        </w:tc>
      </w:tr>
      <w:tr w:rsidR="00F52EEC" w:rsidRPr="003A0728" w14:paraId="7508E680" w14:textId="77777777" w:rsidTr="000F52AA">
        <w:trPr>
          <w:trHeight w:val="52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7500" w:fill="F2F2F2"/>
            <w:noWrap/>
            <w:vAlign w:val="center"/>
            <w:hideMark/>
          </w:tcPr>
          <w:p w14:paraId="4CF2EDBA" w14:textId="77777777" w:rsidR="00F52EEC" w:rsidRPr="00BB2010" w:rsidRDefault="00F52EEC" w:rsidP="00B424A2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7500" w:fill="F2F2F2"/>
            <w:vAlign w:val="center"/>
            <w:hideMark/>
          </w:tcPr>
          <w:p w14:paraId="1E96D350" w14:textId="77777777" w:rsidR="00F52EEC" w:rsidRPr="00BB2010" w:rsidRDefault="00F52EEC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Prihodi od prodaje proizvoda i robe te pruženih usluga i prihodi od don</w:t>
            </w:r>
            <w:r w:rsidR="00195C29"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a</w:t>
            </w:r>
            <w:r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7500" w:fill="F2F2F2"/>
            <w:noWrap/>
            <w:vAlign w:val="center"/>
            <w:hideMark/>
          </w:tcPr>
          <w:p w14:paraId="1B355644" w14:textId="37B2F3C6" w:rsidR="00F52EEC" w:rsidRPr="00BB2010" w:rsidRDefault="007D17A0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12.326,96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7500" w:fill="F2F2F2"/>
            <w:noWrap/>
            <w:vAlign w:val="center"/>
            <w:hideMark/>
          </w:tcPr>
          <w:p w14:paraId="683B3D00" w14:textId="6DE982C1" w:rsidR="00F52EEC" w:rsidRPr="00BB2010" w:rsidRDefault="007D17A0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5.320,00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7500" w:fill="F2F2F2"/>
            <w:noWrap/>
            <w:vAlign w:val="center"/>
            <w:hideMark/>
          </w:tcPr>
          <w:p w14:paraId="43A02216" w14:textId="60FA8B30" w:rsidR="00F52EEC" w:rsidRPr="00BB2010" w:rsidRDefault="007D17A0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5.720,01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486DD9" w14:textId="421D4080" w:rsidR="00F52EEC" w:rsidRPr="00BB2010" w:rsidRDefault="007D17A0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AAFF18" w14:textId="7A0F8D29" w:rsidR="00F52EEC" w:rsidRPr="00BB2010" w:rsidRDefault="007D17A0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108</w:t>
            </w:r>
          </w:p>
        </w:tc>
      </w:tr>
      <w:tr w:rsidR="00F52EEC" w:rsidRPr="003A0728" w14:paraId="1C22B4CE" w14:textId="77777777" w:rsidTr="000F52AA">
        <w:trPr>
          <w:trHeight w:val="1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7500" w:fill="F2F2F2"/>
            <w:noWrap/>
            <w:vAlign w:val="center"/>
            <w:hideMark/>
          </w:tcPr>
          <w:p w14:paraId="717FB1D6" w14:textId="77777777" w:rsidR="00F52EEC" w:rsidRPr="00BB2010" w:rsidRDefault="00F52EEC" w:rsidP="00B424A2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7500" w:fill="F2F2F2"/>
            <w:vAlign w:val="center"/>
            <w:hideMark/>
          </w:tcPr>
          <w:p w14:paraId="4AD660E4" w14:textId="77777777" w:rsidR="00F52EEC" w:rsidRPr="00BB2010" w:rsidRDefault="00F52EEC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Prihodi iz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7500" w:fill="F2F2F2"/>
            <w:noWrap/>
            <w:vAlign w:val="center"/>
            <w:hideMark/>
          </w:tcPr>
          <w:p w14:paraId="1D4FF84D" w14:textId="4AA40FEB" w:rsidR="00F52EEC" w:rsidRPr="00BB2010" w:rsidRDefault="007D17A0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95.116,27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7500" w:fill="F2F2F2"/>
            <w:noWrap/>
            <w:vAlign w:val="center"/>
            <w:hideMark/>
          </w:tcPr>
          <w:p w14:paraId="1FF563E9" w14:textId="09023CA5" w:rsidR="00F52EEC" w:rsidRPr="00BB2010" w:rsidRDefault="007D17A0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132.298,00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7500" w:fill="F2F2F2"/>
            <w:noWrap/>
            <w:vAlign w:val="center"/>
            <w:hideMark/>
          </w:tcPr>
          <w:p w14:paraId="2406B57E" w14:textId="058891AC" w:rsidR="00F52EEC" w:rsidRPr="00BB2010" w:rsidRDefault="007D17A0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129.964,65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6D6011" w14:textId="09685188" w:rsidR="00F52EEC" w:rsidRPr="00BB2010" w:rsidRDefault="007D17A0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0B35FA" w14:textId="37551074" w:rsidR="00F52EEC" w:rsidRPr="00BB2010" w:rsidRDefault="007D17A0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98</w:t>
            </w:r>
          </w:p>
        </w:tc>
      </w:tr>
      <w:tr w:rsidR="00F52EEC" w:rsidRPr="003A0728" w14:paraId="1F0E5413" w14:textId="77777777" w:rsidTr="000F52A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F2F2F2"/>
            <w:vAlign w:val="center"/>
            <w:hideMark/>
          </w:tcPr>
          <w:p w14:paraId="7A7EF569" w14:textId="77777777" w:rsidR="00F52EEC" w:rsidRPr="00BB2010" w:rsidRDefault="00F52EEC" w:rsidP="00B424A2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9221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2F2F2"/>
            <w:noWrap/>
            <w:vAlign w:val="center"/>
            <w:hideMark/>
          </w:tcPr>
          <w:p w14:paraId="7399AE49" w14:textId="0F8918CC" w:rsidR="00F52EEC" w:rsidRPr="00BB2010" w:rsidRDefault="00F52EEC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Višak prihoda</w:t>
            </w:r>
            <w:r w:rsidR="00C72B77"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korišten za pokriće rashoda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2F2F2"/>
            <w:noWrap/>
            <w:vAlign w:val="center"/>
            <w:hideMark/>
          </w:tcPr>
          <w:p w14:paraId="69C00B25" w14:textId="1D73086D" w:rsidR="00F52EEC" w:rsidRPr="00BB2010" w:rsidRDefault="007D17A0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17.151,84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2F2F2"/>
            <w:noWrap/>
            <w:vAlign w:val="center"/>
            <w:hideMark/>
          </w:tcPr>
          <w:p w14:paraId="0778888D" w14:textId="49DA642D" w:rsidR="00F52EEC" w:rsidRPr="00BB2010" w:rsidRDefault="007D17A0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2F2F2"/>
            <w:noWrap/>
            <w:vAlign w:val="center"/>
            <w:hideMark/>
          </w:tcPr>
          <w:p w14:paraId="361B313C" w14:textId="2D56C763" w:rsidR="00F52EEC" w:rsidRPr="00BB2010" w:rsidRDefault="007D17A0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3.474,62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3CA47C" w14:textId="32784B90" w:rsidR="00F52EEC" w:rsidRPr="00BB2010" w:rsidRDefault="007D17A0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7F1325" w14:textId="74E6236D" w:rsidR="00F52EEC" w:rsidRPr="00BB2010" w:rsidRDefault="007D17A0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</w:tr>
      <w:tr w:rsidR="00F52EEC" w:rsidRPr="003A0728" w14:paraId="292AD8AE" w14:textId="77777777" w:rsidTr="000F52A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FFE699"/>
            <w:vAlign w:val="center"/>
            <w:hideMark/>
          </w:tcPr>
          <w:p w14:paraId="03BC2A62" w14:textId="77777777" w:rsidR="00F52EEC" w:rsidRPr="00BB2010" w:rsidRDefault="00F52EEC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E699"/>
            <w:noWrap/>
            <w:vAlign w:val="center"/>
            <w:hideMark/>
          </w:tcPr>
          <w:p w14:paraId="64B29E08" w14:textId="77777777" w:rsidR="00F52EEC" w:rsidRPr="00BB2010" w:rsidRDefault="00F52EEC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Ukupni prihodi i prenesi rezultat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E699"/>
            <w:noWrap/>
            <w:vAlign w:val="center"/>
            <w:hideMark/>
          </w:tcPr>
          <w:p w14:paraId="33658E18" w14:textId="1D502258" w:rsidR="00F52EEC" w:rsidRPr="00BB2010" w:rsidRDefault="007D17A0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2.160.649,96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E699"/>
            <w:noWrap/>
            <w:vAlign w:val="center"/>
            <w:hideMark/>
          </w:tcPr>
          <w:p w14:paraId="5A090BDA" w14:textId="55EE7394" w:rsidR="00F52EEC" w:rsidRPr="00BB2010" w:rsidRDefault="007D17A0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2.654.634,00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E699"/>
            <w:noWrap/>
            <w:vAlign w:val="center"/>
            <w:hideMark/>
          </w:tcPr>
          <w:p w14:paraId="2818A1EF" w14:textId="79630959" w:rsidR="00F52EEC" w:rsidRPr="00BB2010" w:rsidRDefault="007D17A0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2.664.439,37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4090B57" w14:textId="223E2788" w:rsidR="00F52EEC" w:rsidRPr="00BB2010" w:rsidRDefault="000B6E4B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A04E750" w14:textId="7EAE28D5" w:rsidR="00F52EEC" w:rsidRPr="00BB2010" w:rsidRDefault="007D17A0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</w:t>
            </w:r>
          </w:p>
        </w:tc>
      </w:tr>
    </w:tbl>
    <w:p w14:paraId="6BC76559" w14:textId="77777777" w:rsidR="00691E4A" w:rsidRPr="003A0728" w:rsidRDefault="00691E4A" w:rsidP="003A0728">
      <w:pPr>
        <w:jc w:val="both"/>
        <w:rPr>
          <w:rFonts w:cstheme="minorHAnsi"/>
        </w:rPr>
      </w:pPr>
    </w:p>
    <w:p w14:paraId="09CA24CC" w14:textId="75172904" w:rsidR="00853547" w:rsidRPr="003A0728" w:rsidRDefault="00C72B77" w:rsidP="003A0728">
      <w:pPr>
        <w:jc w:val="both"/>
        <w:rPr>
          <w:rFonts w:cstheme="minorHAnsi"/>
        </w:rPr>
      </w:pPr>
      <w:r w:rsidRPr="003A0728">
        <w:rPr>
          <w:rFonts w:cstheme="minorHAnsi"/>
        </w:rPr>
        <w:t>Za financir</w:t>
      </w:r>
      <w:r w:rsidR="006817D1">
        <w:rPr>
          <w:rFonts w:cstheme="minorHAnsi"/>
        </w:rPr>
        <w:t xml:space="preserve">anje rashoda u </w:t>
      </w:r>
      <w:r w:rsidRPr="003A0728">
        <w:rPr>
          <w:rFonts w:cstheme="minorHAnsi"/>
        </w:rPr>
        <w:t xml:space="preserve"> 2024. godini</w:t>
      </w:r>
      <w:r w:rsidR="00853547" w:rsidRPr="003A0728">
        <w:rPr>
          <w:rFonts w:cstheme="minorHAnsi"/>
        </w:rPr>
        <w:t xml:space="preserve"> </w:t>
      </w:r>
      <w:r w:rsidRPr="003A0728">
        <w:rPr>
          <w:rFonts w:cstheme="minorHAnsi"/>
        </w:rPr>
        <w:t xml:space="preserve">utrošen je višak </w:t>
      </w:r>
      <w:r w:rsidR="00E230B3" w:rsidRPr="003A0728">
        <w:rPr>
          <w:rFonts w:cstheme="minorHAnsi"/>
        </w:rPr>
        <w:t>prihoda iz prethodnih godina</w:t>
      </w:r>
      <w:r w:rsidR="005C247A" w:rsidRPr="003A0728">
        <w:rPr>
          <w:rFonts w:cstheme="minorHAnsi"/>
        </w:rPr>
        <w:t xml:space="preserve"> ostvaren od </w:t>
      </w:r>
      <w:r w:rsidR="000F52AA">
        <w:rPr>
          <w:rFonts w:cstheme="minorHAnsi"/>
        </w:rPr>
        <w:t>p</w:t>
      </w:r>
      <w:r w:rsidR="005C247A" w:rsidRPr="003A0728">
        <w:rPr>
          <w:rFonts w:cstheme="minorHAnsi"/>
        </w:rPr>
        <w:t>omoći EU</w:t>
      </w:r>
      <w:r w:rsidR="00853547" w:rsidRPr="003A0728">
        <w:rPr>
          <w:rFonts w:cstheme="minorHAnsi"/>
        </w:rPr>
        <w:t>.</w:t>
      </w:r>
      <w:r w:rsidR="00846333" w:rsidRPr="003A0728">
        <w:rPr>
          <w:rFonts w:cstheme="minorHAnsi"/>
        </w:rPr>
        <w:t xml:space="preserve"> </w:t>
      </w:r>
      <w:r w:rsidR="005C247A" w:rsidRPr="003A0728">
        <w:rPr>
          <w:rFonts w:cstheme="minorHAnsi"/>
        </w:rPr>
        <w:t>U</w:t>
      </w:r>
      <w:r w:rsidR="004065F1" w:rsidRPr="003A0728">
        <w:rPr>
          <w:rFonts w:cstheme="minorHAnsi"/>
        </w:rPr>
        <w:t xml:space="preserve">kupni prihodi ostvareni </w:t>
      </w:r>
      <w:r w:rsidR="000B6E4B">
        <w:rPr>
          <w:rFonts w:cstheme="minorHAnsi"/>
        </w:rPr>
        <w:t>su 100</w:t>
      </w:r>
      <w:r w:rsidR="005C247A" w:rsidRPr="003A0728">
        <w:rPr>
          <w:rFonts w:cstheme="minorHAnsi"/>
        </w:rPr>
        <w:t>% u odnosu na plan za 2024.</w:t>
      </w:r>
      <w:r w:rsidR="004065F1" w:rsidRPr="003A0728">
        <w:rPr>
          <w:rFonts w:cstheme="minorHAnsi"/>
        </w:rPr>
        <w:t xml:space="preserve"> </w:t>
      </w:r>
    </w:p>
    <w:p w14:paraId="2AF25D68" w14:textId="05168781" w:rsidR="004065F1" w:rsidRPr="003A0728" w:rsidRDefault="00E476B2" w:rsidP="003A0728">
      <w:pPr>
        <w:jc w:val="both"/>
        <w:rPr>
          <w:rFonts w:cstheme="minorHAnsi"/>
        </w:rPr>
      </w:pPr>
      <w:r w:rsidRPr="003A0728">
        <w:rPr>
          <w:rFonts w:cstheme="minorHAnsi"/>
        </w:rPr>
        <w:t xml:space="preserve">Najveći udio u ostvarenju prihoda poslovanja su </w:t>
      </w:r>
      <w:r w:rsidRPr="003A0728">
        <w:rPr>
          <w:rFonts w:cstheme="minorHAnsi"/>
          <w:b/>
        </w:rPr>
        <w:t>tekuće pomoći proračunskim korisnicima iz proračuna koji im nije nadležan</w:t>
      </w:r>
      <w:r w:rsidRPr="003A0728">
        <w:rPr>
          <w:rFonts w:cstheme="minorHAnsi"/>
        </w:rPr>
        <w:t xml:space="preserve">, a iz kojih </w:t>
      </w:r>
      <w:r w:rsidR="000310AB">
        <w:rPr>
          <w:rFonts w:cstheme="minorHAnsi"/>
        </w:rPr>
        <w:t>se financiraju troškovi plaća, ostala</w:t>
      </w:r>
      <w:r w:rsidRPr="003A0728">
        <w:rPr>
          <w:rFonts w:cstheme="minorHAnsi"/>
        </w:rPr>
        <w:t xml:space="preserve"> materijalnih prava</w:t>
      </w:r>
      <w:r w:rsidR="008254D6">
        <w:rPr>
          <w:rFonts w:cstheme="minorHAnsi"/>
        </w:rPr>
        <w:t xml:space="preserve"> zaposlenih, prehrana učenika, </w:t>
      </w:r>
      <w:r w:rsidR="000310AB">
        <w:rPr>
          <w:rFonts w:cstheme="minorHAnsi"/>
        </w:rPr>
        <w:t>nabava</w:t>
      </w:r>
      <w:r w:rsidR="00161EB9">
        <w:rPr>
          <w:rFonts w:cstheme="minorHAnsi"/>
        </w:rPr>
        <w:t xml:space="preserve"> radnih udžbenika i </w:t>
      </w:r>
      <w:r w:rsidR="000310AB">
        <w:rPr>
          <w:rFonts w:cstheme="minorHAnsi"/>
        </w:rPr>
        <w:t>bilježnica</w:t>
      </w:r>
      <w:r w:rsidRPr="003A0728">
        <w:rPr>
          <w:rFonts w:cstheme="minorHAnsi"/>
        </w:rPr>
        <w:t>. Osim prihoda Ministarstva znanosti</w:t>
      </w:r>
      <w:r w:rsidR="003A0728">
        <w:rPr>
          <w:rFonts w:cstheme="minorHAnsi"/>
        </w:rPr>
        <w:t xml:space="preserve">, </w:t>
      </w:r>
      <w:r w:rsidRPr="003A0728">
        <w:rPr>
          <w:rFonts w:cstheme="minorHAnsi"/>
        </w:rPr>
        <w:t>obrazovanja</w:t>
      </w:r>
      <w:r w:rsidR="003A0728">
        <w:rPr>
          <w:rFonts w:cstheme="minorHAnsi"/>
        </w:rPr>
        <w:t xml:space="preserve"> i mladih</w:t>
      </w:r>
      <w:r w:rsidRPr="003A0728">
        <w:rPr>
          <w:rFonts w:cstheme="minorHAnsi"/>
        </w:rPr>
        <w:t xml:space="preserve"> škola je ostvarila i pomoći iz </w:t>
      </w:r>
      <w:r w:rsidR="00846333" w:rsidRPr="003A0728">
        <w:rPr>
          <w:rFonts w:cstheme="minorHAnsi"/>
        </w:rPr>
        <w:t>o</w:t>
      </w:r>
      <w:r w:rsidRPr="003A0728">
        <w:rPr>
          <w:rFonts w:cstheme="minorHAnsi"/>
        </w:rPr>
        <w:t xml:space="preserve">pćinskog proračuna te pomoći temeljem </w:t>
      </w:r>
      <w:r w:rsidRPr="003A0728">
        <w:rPr>
          <w:rFonts w:cstheme="minorHAnsi"/>
        </w:rPr>
        <w:lastRenderedPageBreak/>
        <w:t>pr</w:t>
      </w:r>
      <w:r w:rsidR="005C247A" w:rsidRPr="003A0728">
        <w:rPr>
          <w:rFonts w:cstheme="minorHAnsi"/>
        </w:rPr>
        <w:t>ijenosa EU sredstava za projekt</w:t>
      </w:r>
      <w:r w:rsidRPr="003A0728">
        <w:rPr>
          <w:rFonts w:cstheme="minorHAnsi"/>
        </w:rPr>
        <w:t xml:space="preserve"> „</w:t>
      </w:r>
      <w:r w:rsidR="005C247A" w:rsidRPr="003A0728">
        <w:rPr>
          <w:rFonts w:cstheme="minorHAnsi"/>
        </w:rPr>
        <w:t>Pomoćnici u nastavi“ i  isplatu po završnom izvješću za projekt „Školski obroci svima“.</w:t>
      </w:r>
      <w:r w:rsidR="000310AB">
        <w:rPr>
          <w:rFonts w:cstheme="minorHAnsi"/>
        </w:rPr>
        <w:t xml:space="preserve"> Prihodi su ostvareni  100</w:t>
      </w:r>
      <w:r w:rsidR="00DD6757" w:rsidRPr="003A0728">
        <w:rPr>
          <w:rFonts w:cstheme="minorHAnsi"/>
        </w:rPr>
        <w:t>% od plana.</w:t>
      </w:r>
    </w:p>
    <w:p w14:paraId="3156791C" w14:textId="77D78A0D" w:rsidR="00DD6757" w:rsidRPr="003A0728" w:rsidRDefault="00DD6757" w:rsidP="003A0728">
      <w:pPr>
        <w:jc w:val="both"/>
        <w:rPr>
          <w:rFonts w:cstheme="minorHAnsi"/>
        </w:rPr>
      </w:pPr>
      <w:r w:rsidRPr="003A0728">
        <w:rPr>
          <w:rFonts w:cstheme="minorHAnsi"/>
          <w:b/>
        </w:rPr>
        <w:t xml:space="preserve">Prihodi od imovine </w:t>
      </w:r>
      <w:r w:rsidRPr="003A0728">
        <w:rPr>
          <w:rFonts w:cstheme="minorHAnsi"/>
        </w:rPr>
        <w:t xml:space="preserve">odnose se na prihode banke na sredstva po viđenju </w:t>
      </w:r>
      <w:r w:rsidR="000310AB">
        <w:rPr>
          <w:rFonts w:cstheme="minorHAnsi"/>
        </w:rPr>
        <w:t>na računu škole.</w:t>
      </w:r>
      <w:r w:rsidR="00161EB9">
        <w:rPr>
          <w:rFonts w:cstheme="minorHAnsi"/>
        </w:rPr>
        <w:t xml:space="preserve"> Škola je ostvarila prihode u iznosu 16,33 eura</w:t>
      </w:r>
      <w:r w:rsidR="000310AB">
        <w:rPr>
          <w:rFonts w:cstheme="minorHAnsi"/>
        </w:rPr>
        <w:t xml:space="preserve"> </w:t>
      </w:r>
      <w:r w:rsidR="00161EB9">
        <w:rPr>
          <w:rFonts w:cstheme="minorHAnsi"/>
        </w:rPr>
        <w:t xml:space="preserve">što je ostvarenje  </w:t>
      </w:r>
      <w:r w:rsidR="000310AB">
        <w:rPr>
          <w:rFonts w:cstheme="minorHAnsi"/>
        </w:rPr>
        <w:t>102</w:t>
      </w:r>
      <w:r w:rsidRPr="003A0728">
        <w:rPr>
          <w:rFonts w:cstheme="minorHAnsi"/>
        </w:rPr>
        <w:t>% od plana.</w:t>
      </w:r>
    </w:p>
    <w:p w14:paraId="029A8115" w14:textId="7E131DDC" w:rsidR="005C247A" w:rsidRPr="003A0728" w:rsidRDefault="00E476B2" w:rsidP="003A0728">
      <w:pPr>
        <w:spacing w:after="0"/>
        <w:jc w:val="both"/>
        <w:rPr>
          <w:rFonts w:cstheme="minorHAnsi"/>
        </w:rPr>
      </w:pPr>
      <w:r w:rsidRPr="003A0728">
        <w:rPr>
          <w:rFonts w:cstheme="minorHAnsi"/>
          <w:b/>
        </w:rPr>
        <w:t>Prihodi po posebnim propisima</w:t>
      </w:r>
      <w:r w:rsidRPr="003A0728">
        <w:rPr>
          <w:rFonts w:cstheme="minorHAnsi"/>
        </w:rPr>
        <w:t xml:space="preserve"> </w:t>
      </w:r>
      <w:r w:rsidR="00222417">
        <w:rPr>
          <w:rFonts w:cstheme="minorHAnsi"/>
        </w:rPr>
        <w:t>ostvareni su 104% od plana</w:t>
      </w:r>
      <w:r w:rsidR="005C247A" w:rsidRPr="003A0728">
        <w:rPr>
          <w:rFonts w:cstheme="minorHAnsi"/>
        </w:rPr>
        <w:t xml:space="preserve">. </w:t>
      </w:r>
      <w:r w:rsidR="003A0728" w:rsidRPr="003A0728">
        <w:rPr>
          <w:rFonts w:cstheme="minorHAnsi"/>
        </w:rPr>
        <w:t>Ostvareni</w:t>
      </w:r>
      <w:r w:rsidR="00222417">
        <w:rPr>
          <w:rFonts w:cstheme="minorHAnsi"/>
        </w:rPr>
        <w:t xml:space="preserve"> prihodi odnose se </w:t>
      </w:r>
      <w:r w:rsidR="00DD6757" w:rsidRPr="003A0728">
        <w:rPr>
          <w:rFonts w:cstheme="minorHAnsi"/>
        </w:rPr>
        <w:t xml:space="preserve"> na prihode učenika za terenske nastave, </w:t>
      </w:r>
      <w:r w:rsidR="00161EB9">
        <w:rPr>
          <w:rFonts w:cstheme="minorHAnsi"/>
        </w:rPr>
        <w:t xml:space="preserve">za osiguranje učenika, </w:t>
      </w:r>
      <w:r w:rsidR="00DD6757" w:rsidRPr="003A0728">
        <w:rPr>
          <w:rFonts w:cstheme="minorHAnsi"/>
        </w:rPr>
        <w:t xml:space="preserve">sufinanciranje prehrane, </w:t>
      </w:r>
      <w:r w:rsidR="007E4E2D">
        <w:rPr>
          <w:rFonts w:cstheme="minorHAnsi"/>
        </w:rPr>
        <w:t xml:space="preserve">prihodi roditelja za sufinanciranje produženog boravka, </w:t>
      </w:r>
      <w:r w:rsidR="00DD6757" w:rsidRPr="003A0728">
        <w:rPr>
          <w:rFonts w:cstheme="minorHAnsi"/>
        </w:rPr>
        <w:t>prihode turističkih agencija</w:t>
      </w:r>
      <w:r w:rsidR="007E4E2D">
        <w:rPr>
          <w:rFonts w:cstheme="minorHAnsi"/>
        </w:rPr>
        <w:t xml:space="preserve"> za sufinanciranje dnevnica</w:t>
      </w:r>
      <w:r w:rsidR="00DD6757" w:rsidRPr="003A0728">
        <w:rPr>
          <w:rFonts w:cstheme="minorHAnsi"/>
        </w:rPr>
        <w:t xml:space="preserve">, </w:t>
      </w:r>
      <w:r w:rsidR="003A0728" w:rsidRPr="003A0728">
        <w:rPr>
          <w:rFonts w:cstheme="minorHAnsi"/>
        </w:rPr>
        <w:t>sufinanciranje</w:t>
      </w:r>
      <w:r w:rsidR="00DD6757" w:rsidRPr="003A0728">
        <w:rPr>
          <w:rFonts w:cstheme="minorHAnsi"/>
        </w:rPr>
        <w:t xml:space="preserve"> </w:t>
      </w:r>
      <w:r w:rsidR="007E4E2D">
        <w:rPr>
          <w:rFonts w:cstheme="minorHAnsi"/>
        </w:rPr>
        <w:t xml:space="preserve">sportskih saveza za sportska </w:t>
      </w:r>
      <w:r w:rsidR="00DD6757" w:rsidRPr="003A0728">
        <w:rPr>
          <w:rFonts w:cstheme="minorHAnsi"/>
        </w:rPr>
        <w:t xml:space="preserve">natjecanja </w:t>
      </w:r>
      <w:r w:rsidR="00222417">
        <w:rPr>
          <w:rFonts w:cstheme="minorHAnsi"/>
        </w:rPr>
        <w:t>i sl.</w:t>
      </w:r>
    </w:p>
    <w:p w14:paraId="3731BA12" w14:textId="4C44480B" w:rsidR="008015BB" w:rsidRPr="003A0728" w:rsidRDefault="008015BB" w:rsidP="003A0728">
      <w:pPr>
        <w:spacing w:before="240"/>
        <w:jc w:val="both"/>
        <w:rPr>
          <w:rFonts w:cstheme="minorHAnsi"/>
        </w:rPr>
      </w:pPr>
      <w:r w:rsidRPr="003A0728">
        <w:rPr>
          <w:rFonts w:cstheme="minorHAnsi"/>
          <w:b/>
        </w:rPr>
        <w:t>Prihodi od prodaje proizvoda i robe te pruženih usluga</w:t>
      </w:r>
      <w:r w:rsidRPr="003A0728">
        <w:rPr>
          <w:rFonts w:cstheme="minorHAnsi"/>
        </w:rPr>
        <w:t xml:space="preserve"> prihodi su od najma dvorane i donacija. Donacij</w:t>
      </w:r>
      <w:r w:rsidR="00EC21B2" w:rsidRPr="003A0728">
        <w:rPr>
          <w:rFonts w:cstheme="minorHAnsi"/>
        </w:rPr>
        <w:t>e su ostvarene u</w:t>
      </w:r>
      <w:r w:rsidR="007E4E2D">
        <w:rPr>
          <w:rFonts w:cstheme="minorHAnsi"/>
        </w:rPr>
        <w:t xml:space="preserve"> iznosu 2.555</w:t>
      </w:r>
      <w:r w:rsidRPr="003A0728">
        <w:rPr>
          <w:rFonts w:cstheme="minorHAnsi"/>
        </w:rPr>
        <w:t xml:space="preserve"> €</w:t>
      </w:r>
      <w:r w:rsidR="007E4E2D">
        <w:rPr>
          <w:rFonts w:cstheme="minorHAnsi"/>
        </w:rPr>
        <w:t xml:space="preserve"> što je 26% više od plana</w:t>
      </w:r>
      <w:r w:rsidRPr="003A0728">
        <w:rPr>
          <w:rFonts w:cstheme="minorHAnsi"/>
        </w:rPr>
        <w:t xml:space="preserve">. </w:t>
      </w:r>
      <w:r w:rsidR="007E4E2D">
        <w:rPr>
          <w:rFonts w:cstheme="minorHAnsi"/>
        </w:rPr>
        <w:t xml:space="preserve"> Prihodi od najma dvorane  ostvareni su</w:t>
      </w:r>
      <w:r w:rsidR="00CF5873">
        <w:rPr>
          <w:rFonts w:cstheme="minorHAnsi"/>
        </w:rPr>
        <w:t xml:space="preserve"> u iznosu 3.165,01 € što je </w:t>
      </w:r>
      <w:r w:rsidR="007E4E2D">
        <w:rPr>
          <w:rFonts w:cstheme="minorHAnsi"/>
        </w:rPr>
        <w:t xml:space="preserve"> 96</w:t>
      </w:r>
      <w:r w:rsidR="00CF5873">
        <w:rPr>
          <w:rFonts w:cstheme="minorHAnsi"/>
        </w:rPr>
        <w:t xml:space="preserve">% </w:t>
      </w:r>
      <w:r w:rsidR="00EC21B2" w:rsidRPr="003A0728">
        <w:rPr>
          <w:rFonts w:cstheme="minorHAnsi"/>
        </w:rPr>
        <w:t xml:space="preserve"> plana.</w:t>
      </w:r>
      <w:r w:rsidR="00CF5873">
        <w:rPr>
          <w:rFonts w:cstheme="minorHAnsi"/>
        </w:rPr>
        <w:t xml:space="preserve"> Ukupno gledano prihodi su ostvareni 108% od plana.</w:t>
      </w:r>
    </w:p>
    <w:p w14:paraId="09BC25E0" w14:textId="7F110E78" w:rsidR="008015BB" w:rsidRDefault="008015BB" w:rsidP="003A0728">
      <w:pPr>
        <w:jc w:val="both"/>
        <w:rPr>
          <w:rFonts w:cstheme="minorHAnsi"/>
        </w:rPr>
      </w:pPr>
      <w:r w:rsidRPr="003A0728">
        <w:rPr>
          <w:rFonts w:cstheme="minorHAnsi"/>
          <w:b/>
        </w:rPr>
        <w:t>Prihodi iz</w:t>
      </w:r>
      <w:r w:rsidR="00EC21B2" w:rsidRPr="003A0728">
        <w:rPr>
          <w:rFonts w:cstheme="minorHAnsi"/>
          <w:b/>
        </w:rPr>
        <w:t xml:space="preserve"> nadležnog</w:t>
      </w:r>
      <w:r w:rsidRPr="003A0728">
        <w:rPr>
          <w:rFonts w:cstheme="minorHAnsi"/>
          <w:b/>
        </w:rPr>
        <w:t xml:space="preserve"> proračuna čine </w:t>
      </w:r>
      <w:r w:rsidRPr="003A0728">
        <w:rPr>
          <w:rFonts w:cstheme="minorHAnsi"/>
        </w:rPr>
        <w:t>decentralizirana sredstva iz županijskog proračuna za financiranje materijalnih rashoda, energenata i investicijskog održavanje te općih prihoda i primitaka Međimurske županije za su</w:t>
      </w:r>
      <w:r w:rsidR="00EC21B2" w:rsidRPr="003A0728">
        <w:rPr>
          <w:rFonts w:cstheme="minorHAnsi"/>
        </w:rPr>
        <w:t xml:space="preserve">financiranje </w:t>
      </w:r>
      <w:r w:rsidR="00846333" w:rsidRPr="003A0728">
        <w:rPr>
          <w:rFonts w:cstheme="minorHAnsi"/>
        </w:rPr>
        <w:t>G</w:t>
      </w:r>
      <w:r w:rsidRPr="003A0728">
        <w:rPr>
          <w:rFonts w:cstheme="minorHAnsi"/>
        </w:rPr>
        <w:t>rađanskog od</w:t>
      </w:r>
      <w:r w:rsidR="00CF5873">
        <w:rPr>
          <w:rFonts w:cstheme="minorHAnsi"/>
        </w:rPr>
        <w:t xml:space="preserve">goja, županijskih natjecanja, </w:t>
      </w:r>
      <w:r w:rsidRPr="003A0728">
        <w:rPr>
          <w:rFonts w:cstheme="minorHAnsi"/>
        </w:rPr>
        <w:t>pomoćnika u nastav</w:t>
      </w:r>
      <w:r w:rsidR="003F4622" w:rsidRPr="003A0728">
        <w:rPr>
          <w:rFonts w:cstheme="minorHAnsi"/>
        </w:rPr>
        <w:t>i</w:t>
      </w:r>
      <w:r w:rsidR="00CF5873">
        <w:rPr>
          <w:rFonts w:cstheme="minorHAnsi"/>
        </w:rPr>
        <w:t xml:space="preserve"> i nabavu nefinancijske imovine</w:t>
      </w:r>
      <w:r w:rsidR="003F4622" w:rsidRPr="003A0728">
        <w:rPr>
          <w:rFonts w:cstheme="minorHAnsi"/>
        </w:rPr>
        <w:t>.</w:t>
      </w:r>
      <w:r w:rsidR="00CF5873">
        <w:rPr>
          <w:rFonts w:cstheme="minorHAnsi"/>
        </w:rPr>
        <w:t xml:space="preserve"> Prihodi su  ostvareni 98</w:t>
      </w:r>
      <w:r w:rsidR="00EC21B2" w:rsidRPr="003A0728">
        <w:rPr>
          <w:rFonts w:cstheme="minorHAnsi"/>
        </w:rPr>
        <w:t>% od plana.</w:t>
      </w:r>
    </w:p>
    <w:p w14:paraId="3A294996" w14:textId="0B497C63" w:rsidR="00383872" w:rsidRPr="00383872" w:rsidRDefault="00383872" w:rsidP="003A0728">
      <w:pPr>
        <w:jc w:val="both"/>
        <w:rPr>
          <w:rFonts w:cstheme="minorHAnsi"/>
        </w:rPr>
      </w:pPr>
      <w:r w:rsidRPr="00383872">
        <w:rPr>
          <w:rFonts w:cstheme="minorHAnsi"/>
          <w:b/>
        </w:rPr>
        <w:t xml:space="preserve">Višak prihoda korišten za pokriće rashoda </w:t>
      </w:r>
      <w:r>
        <w:rPr>
          <w:rFonts w:cstheme="minorHAnsi"/>
        </w:rPr>
        <w:t>čini preneseni višak EU sredstava za troškove Erasmus projekata i utrošen je na rashode u tekućoj godini.</w:t>
      </w:r>
    </w:p>
    <w:tbl>
      <w:tblPr>
        <w:tblpPr w:leftFromText="180" w:rightFromText="180" w:vertAnchor="text" w:tblpY="-15"/>
        <w:tblW w:w="949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1418"/>
        <w:gridCol w:w="1417"/>
        <w:gridCol w:w="1421"/>
        <w:gridCol w:w="564"/>
        <w:gridCol w:w="567"/>
      </w:tblGrid>
      <w:tr w:rsidR="001B0D35" w:rsidRPr="003A0728" w14:paraId="5E57EFC5" w14:textId="77777777" w:rsidTr="001B0D35">
        <w:trPr>
          <w:trHeight w:val="315"/>
        </w:trPr>
        <w:tc>
          <w:tcPr>
            <w:tcW w:w="94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D66119" w14:textId="168BAF14" w:rsidR="001B0D35" w:rsidRPr="003A0728" w:rsidRDefault="00894598" w:rsidP="003A0728">
            <w:pPr>
              <w:spacing w:after="0"/>
              <w:jc w:val="both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3A072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IZ</w:t>
            </w:r>
            <w:r w:rsidR="001B0D35" w:rsidRPr="003A072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VRŠENJE RASHODA PO EKONOMSKOJ KLASIFIKACIJI</w:t>
            </w:r>
          </w:p>
        </w:tc>
      </w:tr>
      <w:tr w:rsidR="001B0D35" w:rsidRPr="003A0728" w14:paraId="38D1A3E9" w14:textId="77777777" w:rsidTr="000F52AA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6E9643C9" w14:textId="77777777" w:rsidR="001B0D35" w:rsidRPr="00BB2010" w:rsidRDefault="001B0D35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Konto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15B37374" w14:textId="77777777" w:rsidR="001B0D35" w:rsidRPr="00BB2010" w:rsidRDefault="001B0D35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Naziv rashoda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2060DF51" w14:textId="60C109D0" w:rsidR="001B0D35" w:rsidRPr="00BB2010" w:rsidRDefault="008A05A5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 xml:space="preserve">Izvršenje </w:t>
            </w:r>
            <w:r w:rsidR="000F52AA" w:rsidRPr="00BB2010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EC21B2" w:rsidRPr="00BB2010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2023</w:t>
            </w:r>
            <w:r w:rsidR="001B0D35" w:rsidRPr="00BB2010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3F63E66A" w14:textId="45D79825" w:rsidR="001B0D35" w:rsidRPr="00BB2010" w:rsidRDefault="00EC21B2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Plan 2024</w:t>
            </w:r>
            <w:r w:rsidR="001B0D35" w:rsidRPr="00BB2010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768B4EFD" w14:textId="3521422F" w:rsidR="001B0D35" w:rsidRPr="00BB2010" w:rsidRDefault="008A05A5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 xml:space="preserve">Izvršenje </w:t>
            </w:r>
            <w:r w:rsidR="00EC21B2" w:rsidRPr="00BB2010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2024</w:t>
            </w:r>
            <w:r w:rsidR="001B0D35" w:rsidRPr="00BB2010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596241FC" w14:textId="77777777" w:rsidR="001B0D35" w:rsidRPr="00BB2010" w:rsidRDefault="001B0D35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Indeks 5/3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298A46FA" w14:textId="77777777" w:rsidR="001B0D35" w:rsidRPr="00BB2010" w:rsidRDefault="001B0D35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Indeks 5/4</w:t>
            </w:r>
          </w:p>
        </w:tc>
      </w:tr>
      <w:tr w:rsidR="001B0D35" w:rsidRPr="003A0728" w14:paraId="6906CEE2" w14:textId="77777777" w:rsidTr="000F52AA">
        <w:trPr>
          <w:trHeight w:val="18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5D89F93C" w14:textId="77777777" w:rsidR="001B0D35" w:rsidRPr="00BB2010" w:rsidRDefault="001B0D35" w:rsidP="00B424A2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112B599A" w14:textId="77777777" w:rsidR="001B0D35" w:rsidRPr="00BB2010" w:rsidRDefault="001B0D35" w:rsidP="003A0728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47192483" w14:textId="77777777" w:rsidR="001B0D35" w:rsidRPr="00BB2010" w:rsidRDefault="001B0D35" w:rsidP="003A0728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2A9A9EF1" w14:textId="77777777" w:rsidR="001B0D35" w:rsidRPr="00BB2010" w:rsidRDefault="001B0D35" w:rsidP="003A0728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08D045DE" w14:textId="77777777" w:rsidR="001B0D35" w:rsidRPr="00BB2010" w:rsidRDefault="001B0D35" w:rsidP="003A0728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3914FF9C" w14:textId="77777777" w:rsidR="001B0D35" w:rsidRPr="00BB2010" w:rsidRDefault="001B0D35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759ED2B8" w14:textId="77777777" w:rsidR="001B0D35" w:rsidRPr="00BB2010" w:rsidRDefault="001B0D35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%</w:t>
            </w:r>
          </w:p>
        </w:tc>
      </w:tr>
      <w:tr w:rsidR="001B0D35" w:rsidRPr="003A0728" w14:paraId="2C939B07" w14:textId="77777777" w:rsidTr="008A05A5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29FCF" w:fill="BDD7EE"/>
            <w:vAlign w:val="center"/>
            <w:hideMark/>
          </w:tcPr>
          <w:p w14:paraId="453B9FA0" w14:textId="77777777" w:rsidR="001B0D35" w:rsidRPr="00BB2010" w:rsidRDefault="001B0D35" w:rsidP="00B424A2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29FCF" w:fill="BDD7EE"/>
            <w:vAlign w:val="center"/>
            <w:hideMark/>
          </w:tcPr>
          <w:p w14:paraId="1B6789B4" w14:textId="77777777" w:rsidR="001B0D35" w:rsidRPr="00BB2010" w:rsidRDefault="001B0D35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29FCF" w:fill="BDD7EE"/>
            <w:vAlign w:val="center"/>
          </w:tcPr>
          <w:p w14:paraId="6E1A8A4A" w14:textId="69745907" w:rsidR="001B0D35" w:rsidRPr="00BB2010" w:rsidRDefault="008A05A5" w:rsidP="003A0728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2.165.766,52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29FCF" w:fill="BDD7EE"/>
            <w:vAlign w:val="center"/>
            <w:hideMark/>
          </w:tcPr>
          <w:p w14:paraId="0B38392A" w14:textId="1E0C4EB5" w:rsidR="001B0D35" w:rsidRPr="00BB2010" w:rsidRDefault="008A05A5" w:rsidP="003A0728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2.632.177,04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29FCF" w:fill="BDD7EE"/>
            <w:vAlign w:val="center"/>
            <w:hideMark/>
          </w:tcPr>
          <w:p w14:paraId="06F5B28A" w14:textId="4423CB51" w:rsidR="001B0D35" w:rsidRPr="00BB2010" w:rsidRDefault="008A05A5" w:rsidP="003A0728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2.634.672,72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ACF070A" w14:textId="0B39684D" w:rsidR="001B0D35" w:rsidRPr="00BB2010" w:rsidRDefault="008A05A5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34DD93C" w14:textId="557BC275" w:rsidR="001B0D35" w:rsidRPr="00BB2010" w:rsidRDefault="008A05A5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</w:t>
            </w:r>
          </w:p>
        </w:tc>
      </w:tr>
      <w:tr w:rsidR="001B0D35" w:rsidRPr="003A0728" w14:paraId="74F7EC72" w14:textId="77777777" w:rsidTr="000F52A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3947" w14:textId="77777777" w:rsidR="001B0D35" w:rsidRPr="00BB2010" w:rsidRDefault="001B0D35" w:rsidP="00B424A2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3B8D" w14:textId="77777777" w:rsidR="001B0D35" w:rsidRPr="00BB2010" w:rsidRDefault="001B0D35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5321" w14:textId="33E97890" w:rsidR="001B0D35" w:rsidRPr="00BB2010" w:rsidRDefault="008A05A5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1.780.853,89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2110" w14:textId="37D05A5F" w:rsidR="001B0D35" w:rsidRPr="00BB2010" w:rsidRDefault="008A05A5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2.259.252,00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10E4" w14:textId="42582C39" w:rsidR="001B0D35" w:rsidRPr="00BB2010" w:rsidRDefault="008A05A5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2.261.917,79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EFDE" w14:textId="23478318" w:rsidR="001B0D35" w:rsidRPr="00BB2010" w:rsidRDefault="008A05A5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E6DA" w14:textId="17FC5D24" w:rsidR="001B0D35" w:rsidRPr="00BB2010" w:rsidRDefault="008A05A5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</w:t>
            </w:r>
          </w:p>
        </w:tc>
      </w:tr>
      <w:tr w:rsidR="001B0D35" w:rsidRPr="003A0728" w14:paraId="7B74AB39" w14:textId="77777777" w:rsidTr="000F52AA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B48B" w14:textId="77777777" w:rsidR="001B0D35" w:rsidRPr="00BB2010" w:rsidRDefault="001B0D35" w:rsidP="00B424A2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1E53" w14:textId="77777777" w:rsidR="001B0D35" w:rsidRPr="00BB2010" w:rsidRDefault="001B0D35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2A38" w14:textId="46E98868" w:rsidR="001B0D35" w:rsidRPr="00BB2010" w:rsidRDefault="00037629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354.257,73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9EE7" w14:textId="3E883FF9" w:rsidR="001B0D35" w:rsidRPr="00BB2010" w:rsidRDefault="00037629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338.786,04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E7B8" w14:textId="1F2F4C9A" w:rsidR="001B0D35" w:rsidRPr="00BB2010" w:rsidRDefault="00037629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338.236,35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7BF3" w14:textId="654BF0B8" w:rsidR="001B0D35" w:rsidRPr="00BB2010" w:rsidRDefault="00037629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E7BA" w14:textId="24375A05" w:rsidR="001B0D35" w:rsidRPr="00BB2010" w:rsidRDefault="00037629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</w:t>
            </w:r>
          </w:p>
        </w:tc>
      </w:tr>
      <w:tr w:rsidR="001B0D35" w:rsidRPr="003A0728" w14:paraId="040C422A" w14:textId="77777777" w:rsidTr="000F52A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B60C" w14:textId="77777777" w:rsidR="001B0D35" w:rsidRPr="00BB2010" w:rsidRDefault="001B0D35" w:rsidP="00B424A2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CC71" w14:textId="77777777" w:rsidR="001B0D35" w:rsidRPr="00BB2010" w:rsidRDefault="001B0D35" w:rsidP="003A0728">
            <w:pPr>
              <w:spacing w:after="0"/>
              <w:jc w:val="both"/>
              <w:rPr>
                <w:rFonts w:eastAsia="Times New Roman" w:cstheme="minorHAnsi"/>
                <w:iCs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iCs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DBF8" w14:textId="650AD0D7" w:rsidR="001B0D35" w:rsidRPr="00BB2010" w:rsidRDefault="00037629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856,44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BFE4" w14:textId="3142579D" w:rsidR="001B0D35" w:rsidRPr="00BB2010" w:rsidRDefault="00037629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846,00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5EF9" w14:textId="6E021187" w:rsidR="001B0D35" w:rsidRPr="00BB2010" w:rsidRDefault="00037629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952,76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6BCB" w14:textId="778D67DC" w:rsidR="001B0D35" w:rsidRPr="00BB2010" w:rsidRDefault="00037629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35F7" w14:textId="667818E5" w:rsidR="001B0D35" w:rsidRPr="00BB2010" w:rsidRDefault="00037629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113</w:t>
            </w:r>
          </w:p>
        </w:tc>
      </w:tr>
      <w:tr w:rsidR="001B0D35" w:rsidRPr="003A0728" w14:paraId="36959037" w14:textId="77777777" w:rsidTr="000F52A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FB47" w14:textId="77777777" w:rsidR="001B0D35" w:rsidRPr="00BB2010" w:rsidRDefault="001B0D35" w:rsidP="00B424A2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D192" w14:textId="58FA5273" w:rsidR="001B0D35" w:rsidRPr="00BB2010" w:rsidRDefault="001B0D35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Ost.nak.građ</w:t>
            </w:r>
            <w:proofErr w:type="spellEnd"/>
            <w:r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. </w:t>
            </w:r>
            <w:r w:rsidR="000F52AA"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i </w:t>
            </w:r>
            <w:proofErr w:type="spellStart"/>
            <w:r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kuć</w:t>
            </w:r>
            <w:proofErr w:type="spellEnd"/>
            <w:r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B4C5" w14:textId="03D181D9" w:rsidR="001B0D35" w:rsidRPr="00BB2010" w:rsidRDefault="00037629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28.766,72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9E2A" w14:textId="1955431C" w:rsidR="001B0D35" w:rsidRPr="00BB2010" w:rsidRDefault="00037629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32.300,00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9EBB" w14:textId="47C905CB" w:rsidR="001B0D35" w:rsidRPr="00BB2010" w:rsidRDefault="00037629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32.572,36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2DE0" w14:textId="660F90A1" w:rsidR="001B0D35" w:rsidRPr="00BB2010" w:rsidRDefault="00037629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97DB" w14:textId="063D3265" w:rsidR="001B0D35" w:rsidRPr="00BB2010" w:rsidRDefault="00037629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101</w:t>
            </w:r>
          </w:p>
        </w:tc>
      </w:tr>
      <w:tr w:rsidR="001B0D35" w:rsidRPr="003A0728" w14:paraId="7A493159" w14:textId="77777777" w:rsidTr="000F52A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6ECA" w14:textId="77777777" w:rsidR="001B0D35" w:rsidRPr="00BB2010" w:rsidRDefault="001B0D35" w:rsidP="00B424A2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08EF" w14:textId="77777777" w:rsidR="001B0D35" w:rsidRPr="00BB2010" w:rsidRDefault="001B0D35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Ostali rashodi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9297" w14:textId="6A3BFF72" w:rsidR="001B0D35" w:rsidRPr="00BB2010" w:rsidRDefault="00E72F31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1.031,74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758F" w14:textId="7937B44A" w:rsidR="001B0D35" w:rsidRPr="00BB2010" w:rsidRDefault="00037629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993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CC75" w14:textId="3D4EEAB5" w:rsidR="001B0D35" w:rsidRPr="00BB2010" w:rsidRDefault="00E72F31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993,46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98B7" w14:textId="60C1B345" w:rsidR="001B0D35" w:rsidRPr="00BB2010" w:rsidRDefault="00E72F31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9A32" w14:textId="1C28EBC8" w:rsidR="001B0D35" w:rsidRPr="00BB2010" w:rsidRDefault="00037629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</w:t>
            </w:r>
          </w:p>
        </w:tc>
      </w:tr>
      <w:tr w:rsidR="001B0D35" w:rsidRPr="003A0728" w14:paraId="31A07398" w14:textId="77777777" w:rsidTr="00037629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29FCF" w:fill="BDD7EE"/>
            <w:noWrap/>
            <w:vAlign w:val="center"/>
            <w:hideMark/>
          </w:tcPr>
          <w:p w14:paraId="64F72495" w14:textId="77777777" w:rsidR="001B0D35" w:rsidRPr="00BB2010" w:rsidRDefault="001B0D35" w:rsidP="00B424A2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29FCF" w:fill="BDD7EE"/>
            <w:vAlign w:val="center"/>
            <w:hideMark/>
          </w:tcPr>
          <w:p w14:paraId="78434EB4" w14:textId="77777777" w:rsidR="001B0D35" w:rsidRPr="00BB2010" w:rsidRDefault="001B0D35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29FCF" w:fill="BDD7EE"/>
            <w:noWrap/>
            <w:vAlign w:val="center"/>
          </w:tcPr>
          <w:p w14:paraId="492F42C8" w14:textId="334D0D4E" w:rsidR="001B0D35" w:rsidRPr="00BB2010" w:rsidRDefault="00037629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18.015,16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29FCF" w:fill="BDD7EE"/>
            <w:noWrap/>
            <w:vAlign w:val="center"/>
          </w:tcPr>
          <w:p w14:paraId="3521C202" w14:textId="2E042E32" w:rsidR="001B0D35" w:rsidRPr="00BB2010" w:rsidRDefault="00037629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20.950,00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29FCF" w:fill="BDD7EE"/>
            <w:noWrap/>
            <w:vAlign w:val="center"/>
            <w:hideMark/>
          </w:tcPr>
          <w:p w14:paraId="6B1C87E9" w14:textId="7F54B2D1" w:rsidR="001B0D35" w:rsidRPr="00BB2010" w:rsidRDefault="00037629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21.490,73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096F6E5" w14:textId="6F5CFAC7" w:rsidR="001B0D35" w:rsidRPr="00BB2010" w:rsidRDefault="00037629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A8A95C4" w14:textId="5D0D9210" w:rsidR="001B0D35" w:rsidRPr="00BB2010" w:rsidRDefault="00037629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103</w:t>
            </w:r>
          </w:p>
        </w:tc>
      </w:tr>
      <w:tr w:rsidR="00532D7B" w:rsidRPr="003A0728" w14:paraId="2A779D88" w14:textId="77777777" w:rsidTr="00037629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CE162" w14:textId="7543A932" w:rsidR="00532D7B" w:rsidRPr="00BB2010" w:rsidRDefault="00532D7B" w:rsidP="00B424A2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440C" w14:textId="7C4238F1" w:rsidR="00532D7B" w:rsidRPr="00BB2010" w:rsidRDefault="00773B22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23E5D" w14:textId="298D24E0" w:rsidR="00532D7B" w:rsidRPr="00BB2010" w:rsidRDefault="00037629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12.890,16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F483E" w14:textId="0C9E2526" w:rsidR="00532D7B" w:rsidRPr="00BB2010" w:rsidRDefault="00037629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19.950,00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35B8A" w14:textId="7242E2AD" w:rsidR="00532D7B" w:rsidRPr="00BB2010" w:rsidRDefault="00037629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20.490,73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733B" w14:textId="0AFEFDD6" w:rsidR="00532D7B" w:rsidRPr="00BB2010" w:rsidRDefault="00037629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07DD2" w14:textId="735CBF4C" w:rsidR="00532D7B" w:rsidRPr="00BB2010" w:rsidRDefault="00037629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103</w:t>
            </w:r>
          </w:p>
        </w:tc>
      </w:tr>
      <w:tr w:rsidR="00037629" w:rsidRPr="003A0728" w14:paraId="530A798A" w14:textId="77777777" w:rsidTr="00037629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2A4D8" w14:textId="4823CE87" w:rsidR="00037629" w:rsidRPr="00BB2010" w:rsidRDefault="00037629" w:rsidP="00B424A2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C7BD" w14:textId="5DD695EC" w:rsidR="00037629" w:rsidRPr="00BB2010" w:rsidRDefault="00037629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D6C42" w14:textId="0C425DAC" w:rsidR="00037629" w:rsidRPr="00BB2010" w:rsidRDefault="00037629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5.125,00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F0E92" w14:textId="2E1A1C43" w:rsidR="00037629" w:rsidRPr="00BB2010" w:rsidRDefault="00037629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ED4C7" w14:textId="3ABAF8CD" w:rsidR="00037629" w:rsidRPr="00BB2010" w:rsidRDefault="00037629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92B0" w14:textId="31E7AEBC" w:rsidR="00037629" w:rsidRPr="00BB2010" w:rsidRDefault="00037629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2CDA" w14:textId="2027291B" w:rsidR="00037629" w:rsidRPr="00BB2010" w:rsidRDefault="00037629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</w:t>
            </w:r>
          </w:p>
        </w:tc>
      </w:tr>
      <w:tr w:rsidR="001B0D35" w:rsidRPr="003A0728" w14:paraId="1DDB2396" w14:textId="77777777" w:rsidTr="000F52A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737F5D91" w14:textId="373F8B9A" w:rsidR="001B0D35" w:rsidRPr="00BB2010" w:rsidRDefault="001B0D35" w:rsidP="00B424A2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8356B39" w14:textId="1BDB6B10" w:rsidR="001B0D35" w:rsidRPr="00BB2010" w:rsidRDefault="00773B22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UKUPNO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345F6B1C" w14:textId="2F488B21" w:rsidR="001B0D35" w:rsidRPr="00BB2010" w:rsidRDefault="00037629" w:rsidP="00D47245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2.183.781,68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4B9CDF52" w14:textId="73D8CC8B" w:rsidR="001B0D35" w:rsidRPr="00BB2010" w:rsidRDefault="00037629" w:rsidP="00D47245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2.653.127,04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5C3037EF" w14:textId="341CB06F" w:rsidR="001B0D35" w:rsidRPr="00BB2010" w:rsidRDefault="00037629" w:rsidP="00D47245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2.656.163,45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0DEC249" w14:textId="3A741DCA" w:rsidR="001B0D35" w:rsidRPr="00BB2010" w:rsidRDefault="00037629" w:rsidP="00D47245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CD04B07" w14:textId="1FA5DEA2" w:rsidR="001B0D35" w:rsidRPr="00BB2010" w:rsidRDefault="00037629" w:rsidP="00D47245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</w:t>
            </w:r>
          </w:p>
        </w:tc>
      </w:tr>
      <w:tr w:rsidR="00532D7B" w:rsidRPr="003A0728" w14:paraId="0DEEAC91" w14:textId="77777777" w:rsidTr="000F52A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19E60" w14:textId="3102AF09" w:rsidR="00532D7B" w:rsidRPr="00BB2010" w:rsidRDefault="00773B22" w:rsidP="00B424A2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9222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5C855" w14:textId="71051406" w:rsidR="00532D7B" w:rsidRPr="00BB2010" w:rsidRDefault="00773B22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Manjak prihoda pokriven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3174F" w14:textId="77777777" w:rsidR="00532D7B" w:rsidRPr="00BB2010" w:rsidRDefault="00532D7B" w:rsidP="00D47245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1EE8B" w14:textId="77777777" w:rsidR="00532D7B" w:rsidRPr="00BB2010" w:rsidRDefault="00532D7B" w:rsidP="00D47245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910DA" w14:textId="6B8D353B" w:rsidR="00532D7B" w:rsidRPr="00BB2010" w:rsidRDefault="00D47245" w:rsidP="00D47245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26.606,34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6A8B" w14:textId="77777777" w:rsidR="00532D7B" w:rsidRPr="00BB2010" w:rsidRDefault="00532D7B" w:rsidP="00D47245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C06D3" w14:textId="77777777" w:rsidR="00532D7B" w:rsidRPr="00BB2010" w:rsidRDefault="00532D7B" w:rsidP="00D47245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1B0D35" w:rsidRPr="003A0728" w14:paraId="28B7DC7A" w14:textId="77777777" w:rsidTr="00D47245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5815A45" w14:textId="77777777" w:rsidR="001B0D35" w:rsidRPr="00BB2010" w:rsidRDefault="001B0D35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E70FAE1" w14:textId="18D23DF2" w:rsidR="001B0D35" w:rsidRPr="00BB2010" w:rsidRDefault="00773B22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BB2010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Ukupno rashodi i pokriveni manjak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4F5586A5" w14:textId="2932A904" w:rsidR="001B0D35" w:rsidRPr="00BB2010" w:rsidRDefault="00D47245" w:rsidP="00D47245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2.183.781,68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F1B39FD" w14:textId="3F79C1E4" w:rsidR="001B0D35" w:rsidRPr="00BB2010" w:rsidRDefault="00D47245" w:rsidP="00D47245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2.653.127,04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28C74C6" w14:textId="2EC0309B" w:rsidR="001B0D35" w:rsidRPr="00BB2010" w:rsidRDefault="00D47245" w:rsidP="00D47245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2.682.769,79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14:paraId="1168D647" w14:textId="3790191A" w:rsidR="001B0D35" w:rsidRPr="00BB2010" w:rsidRDefault="00D47245" w:rsidP="00D47245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DF12F7D" w14:textId="744B4082" w:rsidR="00D47245" w:rsidRPr="00BB2010" w:rsidRDefault="00D47245" w:rsidP="00D47245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101</w:t>
            </w:r>
          </w:p>
        </w:tc>
      </w:tr>
    </w:tbl>
    <w:p w14:paraId="58B48817" w14:textId="4475BFC8" w:rsidR="00AC3351" w:rsidRDefault="00AC3351" w:rsidP="003A0728">
      <w:pPr>
        <w:jc w:val="both"/>
        <w:rPr>
          <w:rFonts w:cstheme="minorHAnsi"/>
        </w:rPr>
      </w:pPr>
    </w:p>
    <w:p w14:paraId="6AB534EA" w14:textId="5E176B07" w:rsidR="004065F1" w:rsidRDefault="007F7420" w:rsidP="003A0728">
      <w:pPr>
        <w:jc w:val="both"/>
        <w:rPr>
          <w:rFonts w:cstheme="minorHAnsi"/>
        </w:rPr>
      </w:pPr>
      <w:r w:rsidRPr="003A0728">
        <w:rPr>
          <w:rFonts w:cstheme="minorHAnsi"/>
        </w:rPr>
        <w:t>N</w:t>
      </w:r>
      <w:r w:rsidR="00EC21B2" w:rsidRPr="003A0728">
        <w:rPr>
          <w:rFonts w:cstheme="minorHAnsi"/>
        </w:rPr>
        <w:t xml:space="preserve">ajznačajniji rashodi se u izvještajnom razdoblju odnose </w:t>
      </w:r>
      <w:r w:rsidRPr="003A0728">
        <w:rPr>
          <w:rFonts w:cstheme="minorHAnsi"/>
        </w:rPr>
        <w:t>na ra</w:t>
      </w:r>
      <w:r w:rsidR="007345DC">
        <w:rPr>
          <w:rFonts w:cstheme="minorHAnsi"/>
        </w:rPr>
        <w:t xml:space="preserve">shode za zaposlene </w:t>
      </w:r>
      <w:r w:rsidR="00764CBF">
        <w:rPr>
          <w:rFonts w:cstheme="minorHAnsi"/>
        </w:rPr>
        <w:t>2.261.917,90</w:t>
      </w:r>
      <w:r w:rsidR="00894598" w:rsidRPr="003A0728">
        <w:rPr>
          <w:rFonts w:cstheme="minorHAnsi"/>
        </w:rPr>
        <w:t xml:space="preserve"> €,</w:t>
      </w:r>
      <w:r w:rsidR="000F52AA">
        <w:rPr>
          <w:rFonts w:cstheme="minorHAnsi"/>
        </w:rPr>
        <w:t xml:space="preserve"> </w:t>
      </w:r>
      <w:r w:rsidR="00764CBF">
        <w:rPr>
          <w:rFonts w:cstheme="minorHAnsi"/>
        </w:rPr>
        <w:t>odnosno 85,85% ukupnih</w:t>
      </w:r>
      <w:r w:rsidR="00894598" w:rsidRPr="003A0728">
        <w:rPr>
          <w:rFonts w:cstheme="minorHAnsi"/>
        </w:rPr>
        <w:t xml:space="preserve"> </w:t>
      </w:r>
      <w:r w:rsidR="007345DC">
        <w:rPr>
          <w:rFonts w:cstheme="minorHAnsi"/>
        </w:rPr>
        <w:t>rashoda</w:t>
      </w:r>
      <w:r w:rsidR="00894598" w:rsidRPr="003A0728">
        <w:rPr>
          <w:rFonts w:cstheme="minorHAnsi"/>
        </w:rPr>
        <w:t xml:space="preserve"> i</w:t>
      </w:r>
      <w:r w:rsidRPr="003A0728">
        <w:rPr>
          <w:rFonts w:cstheme="minorHAnsi"/>
        </w:rPr>
        <w:t xml:space="preserve"> na</w:t>
      </w:r>
      <w:r w:rsidR="007345DC">
        <w:rPr>
          <w:rFonts w:cstheme="minorHAnsi"/>
        </w:rPr>
        <w:t xml:space="preserve"> materijalne rashode </w:t>
      </w:r>
      <w:r w:rsidR="00764CBF">
        <w:rPr>
          <w:rFonts w:cstheme="minorHAnsi"/>
        </w:rPr>
        <w:t>338.236,35 €, odnosno 12,84% ukupnih</w:t>
      </w:r>
      <w:r w:rsidR="007345DC">
        <w:rPr>
          <w:rFonts w:cstheme="minorHAnsi"/>
        </w:rPr>
        <w:t xml:space="preserve"> rashoda</w:t>
      </w:r>
      <w:r w:rsidR="00894598" w:rsidRPr="003A0728">
        <w:rPr>
          <w:rFonts w:cstheme="minorHAnsi"/>
        </w:rPr>
        <w:t xml:space="preserve">. </w:t>
      </w:r>
    </w:p>
    <w:p w14:paraId="638FB34A" w14:textId="77777777" w:rsidR="00B00134" w:rsidRPr="003A0728" w:rsidRDefault="00B00134" w:rsidP="003A0728">
      <w:pPr>
        <w:jc w:val="both"/>
        <w:rPr>
          <w:rFonts w:cstheme="minorHAnsi"/>
        </w:rPr>
      </w:pPr>
    </w:p>
    <w:p w14:paraId="587D5B43" w14:textId="043AD913" w:rsidR="00A75A22" w:rsidRPr="003A0728" w:rsidRDefault="007E15A4" w:rsidP="003A0728">
      <w:pPr>
        <w:jc w:val="both"/>
        <w:rPr>
          <w:rFonts w:cstheme="minorHAnsi"/>
        </w:rPr>
      </w:pPr>
      <w:r w:rsidRPr="003A0728">
        <w:rPr>
          <w:rFonts w:cstheme="minorHAnsi"/>
          <w:b/>
        </w:rPr>
        <w:lastRenderedPageBreak/>
        <w:t xml:space="preserve">Rashodi za zaposlene (konta skupine 31) </w:t>
      </w:r>
      <w:r w:rsidR="009177CC">
        <w:rPr>
          <w:rFonts w:cstheme="minorHAnsi"/>
        </w:rPr>
        <w:t xml:space="preserve">financira </w:t>
      </w:r>
      <w:r w:rsidRPr="003A0728">
        <w:rPr>
          <w:rFonts w:cstheme="minorHAnsi"/>
        </w:rPr>
        <w:t>se najvećim dijelom iz sredstava državnog proračuna</w:t>
      </w:r>
      <w:r w:rsidR="00846333" w:rsidRPr="003A0728">
        <w:rPr>
          <w:rFonts w:cstheme="minorHAnsi"/>
        </w:rPr>
        <w:t>,</w:t>
      </w:r>
      <w:r w:rsidR="009177CC">
        <w:rPr>
          <w:rFonts w:cstheme="minorHAnsi"/>
        </w:rPr>
        <w:t xml:space="preserve"> a ostatak iz pomoći EU, o</w:t>
      </w:r>
      <w:r w:rsidRPr="003A0728">
        <w:rPr>
          <w:rFonts w:cstheme="minorHAnsi"/>
        </w:rPr>
        <w:t>pćih prihoda i primitaka Županijskog proračuna</w:t>
      </w:r>
      <w:r w:rsidR="009177CC">
        <w:rPr>
          <w:rFonts w:cstheme="minorHAnsi"/>
        </w:rPr>
        <w:t xml:space="preserve"> i iz općinskog proračuna</w:t>
      </w:r>
      <w:r w:rsidRPr="003A0728">
        <w:rPr>
          <w:rFonts w:cstheme="minorHAnsi"/>
        </w:rPr>
        <w:t>. Osim plaća financiraju se i materijalna prava radnika prema Temeljnom kolektivnom ugovoru</w:t>
      </w:r>
      <w:r w:rsidR="009052BC" w:rsidRPr="003A0728">
        <w:rPr>
          <w:rFonts w:cstheme="minorHAnsi"/>
        </w:rPr>
        <w:t xml:space="preserve"> za zaposlenike</w:t>
      </w:r>
      <w:r w:rsidR="00894598" w:rsidRPr="003A0728">
        <w:rPr>
          <w:rFonts w:cstheme="minorHAnsi"/>
        </w:rPr>
        <w:t xml:space="preserve"> u </w:t>
      </w:r>
      <w:r w:rsidRPr="003A0728">
        <w:rPr>
          <w:rFonts w:cstheme="minorHAnsi"/>
        </w:rPr>
        <w:t>javnim službama.</w:t>
      </w:r>
      <w:r w:rsidR="009177CC">
        <w:rPr>
          <w:rFonts w:cstheme="minorHAnsi"/>
        </w:rPr>
        <w:t xml:space="preserve"> Ostvareni su 100</w:t>
      </w:r>
      <w:r w:rsidR="00894598" w:rsidRPr="003A0728">
        <w:rPr>
          <w:rFonts w:cstheme="minorHAnsi"/>
        </w:rPr>
        <w:t>% od plana.</w:t>
      </w:r>
    </w:p>
    <w:p w14:paraId="76E0CB23" w14:textId="5C231079" w:rsidR="00327E60" w:rsidRPr="003A0728" w:rsidRDefault="00327E60" w:rsidP="003A0728">
      <w:pPr>
        <w:spacing w:after="0"/>
        <w:jc w:val="both"/>
        <w:rPr>
          <w:rFonts w:cstheme="minorHAnsi"/>
        </w:rPr>
      </w:pPr>
      <w:r w:rsidRPr="003A0728">
        <w:rPr>
          <w:rFonts w:cstheme="minorHAnsi"/>
          <w:b/>
        </w:rPr>
        <w:t>Materijalni rashodi (konta skupine 32)</w:t>
      </w:r>
    </w:p>
    <w:p w14:paraId="28DDE20C" w14:textId="6AA4CFE4" w:rsidR="00327E60" w:rsidRPr="003A0728" w:rsidRDefault="009052BC" w:rsidP="003A0728">
      <w:pPr>
        <w:spacing w:after="0"/>
        <w:jc w:val="both"/>
        <w:rPr>
          <w:rFonts w:cstheme="minorHAnsi"/>
        </w:rPr>
      </w:pPr>
      <w:r w:rsidRPr="003A0728">
        <w:rPr>
          <w:rFonts w:cstheme="minorHAnsi"/>
        </w:rPr>
        <w:t>M</w:t>
      </w:r>
      <w:r w:rsidR="00327E60" w:rsidRPr="003A0728">
        <w:rPr>
          <w:rFonts w:cstheme="minorHAnsi"/>
        </w:rPr>
        <w:t>aterijalni r</w:t>
      </w:r>
      <w:r w:rsidRPr="003A0728">
        <w:rPr>
          <w:rFonts w:cstheme="minorHAnsi"/>
        </w:rPr>
        <w:t xml:space="preserve">ashodi odnose se na </w:t>
      </w:r>
      <w:r w:rsidR="0035608D" w:rsidRPr="003A0728">
        <w:rPr>
          <w:rFonts w:cstheme="minorHAnsi"/>
        </w:rPr>
        <w:t xml:space="preserve">naknade troška zaposlenima (službena putovanja, </w:t>
      </w:r>
      <w:r w:rsidRPr="003A0728">
        <w:rPr>
          <w:rFonts w:cstheme="minorHAnsi"/>
        </w:rPr>
        <w:t>stručno</w:t>
      </w:r>
      <w:r w:rsidR="00327E60" w:rsidRPr="003A0728">
        <w:rPr>
          <w:rFonts w:cstheme="minorHAnsi"/>
        </w:rPr>
        <w:t xml:space="preserve"> usavršavanja </w:t>
      </w:r>
      <w:r w:rsidR="0035608D" w:rsidRPr="003A0728">
        <w:rPr>
          <w:rFonts w:cstheme="minorHAnsi"/>
        </w:rPr>
        <w:t>uključujući Erasmus projekt</w:t>
      </w:r>
      <w:r w:rsidR="00327E60" w:rsidRPr="003A0728">
        <w:rPr>
          <w:rFonts w:cstheme="minorHAnsi"/>
        </w:rPr>
        <w:t xml:space="preserve">, </w:t>
      </w:r>
      <w:r w:rsidRPr="003A0728">
        <w:rPr>
          <w:rFonts w:cstheme="minorHAnsi"/>
        </w:rPr>
        <w:t>naknade za prijevoz na posao i s posla</w:t>
      </w:r>
      <w:r w:rsidR="0035608D" w:rsidRPr="003A0728">
        <w:rPr>
          <w:rFonts w:cstheme="minorHAnsi"/>
        </w:rPr>
        <w:t>)</w:t>
      </w:r>
      <w:r w:rsidRPr="003A0728">
        <w:rPr>
          <w:rFonts w:cstheme="minorHAnsi"/>
        </w:rPr>
        <w:t xml:space="preserve">, </w:t>
      </w:r>
      <w:r w:rsidR="0035608D" w:rsidRPr="003A0728">
        <w:rPr>
          <w:rFonts w:cstheme="minorHAnsi"/>
        </w:rPr>
        <w:t xml:space="preserve">materijal i energiju (uredski materijal, sredstva za čišćenje, namirnice, </w:t>
      </w:r>
      <w:r w:rsidRPr="003A0728">
        <w:rPr>
          <w:rFonts w:cstheme="minorHAnsi"/>
        </w:rPr>
        <w:t xml:space="preserve">materijal za investicijsko održavanje, </w:t>
      </w:r>
      <w:r w:rsidR="0035608D" w:rsidRPr="003A0728">
        <w:rPr>
          <w:rFonts w:cstheme="minorHAnsi"/>
        </w:rPr>
        <w:t xml:space="preserve">sitni inventar) </w:t>
      </w:r>
      <w:r w:rsidRPr="003A0728">
        <w:rPr>
          <w:rFonts w:cstheme="minorHAnsi"/>
        </w:rPr>
        <w:t>rashodi za</w:t>
      </w:r>
      <w:r w:rsidR="0035608D" w:rsidRPr="003A0728">
        <w:rPr>
          <w:rFonts w:cstheme="minorHAnsi"/>
        </w:rPr>
        <w:t xml:space="preserve"> </w:t>
      </w:r>
      <w:r w:rsidRPr="003A0728">
        <w:rPr>
          <w:rFonts w:cstheme="minorHAnsi"/>
        </w:rPr>
        <w:t xml:space="preserve">usluge (telefon, </w:t>
      </w:r>
      <w:r w:rsidR="0035608D" w:rsidRPr="003A0728">
        <w:rPr>
          <w:rFonts w:cstheme="minorHAnsi"/>
        </w:rPr>
        <w:t xml:space="preserve">tekuće i </w:t>
      </w:r>
      <w:r w:rsidRPr="003A0728">
        <w:rPr>
          <w:rFonts w:cstheme="minorHAnsi"/>
        </w:rPr>
        <w:t>investicijsko</w:t>
      </w:r>
      <w:r w:rsidR="0035608D" w:rsidRPr="003A0728">
        <w:rPr>
          <w:rFonts w:cstheme="minorHAnsi"/>
        </w:rPr>
        <w:t xml:space="preserve"> održavanje</w:t>
      </w:r>
      <w:r w:rsidRPr="003A0728">
        <w:rPr>
          <w:rFonts w:cstheme="minorHAnsi"/>
        </w:rPr>
        <w:t>,</w:t>
      </w:r>
      <w:r w:rsidR="0035608D" w:rsidRPr="003A0728">
        <w:rPr>
          <w:rFonts w:cstheme="minorHAnsi"/>
        </w:rPr>
        <w:t xml:space="preserve"> komunalne usluge, </w:t>
      </w:r>
      <w:r w:rsidRPr="003A0728">
        <w:rPr>
          <w:rFonts w:cstheme="minorHAnsi"/>
        </w:rPr>
        <w:t xml:space="preserve"> zdravs</w:t>
      </w:r>
      <w:r w:rsidR="0035608D" w:rsidRPr="003A0728">
        <w:rPr>
          <w:rFonts w:cstheme="minorHAnsi"/>
        </w:rPr>
        <w:t xml:space="preserve">tveni pregledi, računalne usluge), pristojbe i naknade (naknada za uređenje voda, terenske nastave). Ostvareni </w:t>
      </w:r>
      <w:r w:rsidR="009177CC">
        <w:rPr>
          <w:rFonts w:cstheme="minorHAnsi"/>
        </w:rPr>
        <w:t>su 100</w:t>
      </w:r>
      <w:r w:rsidR="0035608D" w:rsidRPr="003A0728">
        <w:rPr>
          <w:rFonts w:cstheme="minorHAnsi"/>
        </w:rPr>
        <w:t xml:space="preserve">% od plana. </w:t>
      </w:r>
      <w:r w:rsidRPr="003A0728">
        <w:rPr>
          <w:rFonts w:cstheme="minorHAnsi"/>
        </w:rPr>
        <w:t xml:space="preserve"> </w:t>
      </w:r>
      <w:r w:rsidR="00327E60" w:rsidRPr="003A0728">
        <w:rPr>
          <w:rFonts w:cstheme="minorHAnsi"/>
        </w:rPr>
        <w:t xml:space="preserve"> </w:t>
      </w:r>
    </w:p>
    <w:p w14:paraId="66BA8F88" w14:textId="77777777" w:rsidR="00894598" w:rsidRPr="003A0728" w:rsidRDefault="00894598" w:rsidP="003A0728">
      <w:pPr>
        <w:spacing w:after="0"/>
        <w:jc w:val="both"/>
        <w:rPr>
          <w:rFonts w:cstheme="minorHAnsi"/>
        </w:rPr>
      </w:pPr>
    </w:p>
    <w:p w14:paraId="29AA03FF" w14:textId="59197265" w:rsidR="0035608D" w:rsidRPr="003A0728" w:rsidRDefault="0035608D" w:rsidP="003A0728">
      <w:pPr>
        <w:spacing w:after="0"/>
        <w:jc w:val="both"/>
        <w:rPr>
          <w:rFonts w:cstheme="minorHAnsi"/>
          <w:b/>
        </w:rPr>
      </w:pPr>
      <w:r w:rsidRPr="003A0728">
        <w:rPr>
          <w:rFonts w:cstheme="minorHAnsi"/>
          <w:b/>
        </w:rPr>
        <w:t>Financijski rashodi (konta skupine 34)</w:t>
      </w:r>
    </w:p>
    <w:p w14:paraId="7A6818DD" w14:textId="6B9F425D" w:rsidR="0035608D" w:rsidRPr="003A0728" w:rsidRDefault="0035608D" w:rsidP="003A0728">
      <w:pPr>
        <w:spacing w:after="0"/>
        <w:jc w:val="both"/>
        <w:rPr>
          <w:rFonts w:cstheme="minorHAnsi"/>
        </w:rPr>
      </w:pPr>
      <w:r w:rsidRPr="003A0728">
        <w:rPr>
          <w:rFonts w:cstheme="minorHAnsi"/>
        </w:rPr>
        <w:t>Rashodi su za b</w:t>
      </w:r>
      <w:r w:rsidR="008A6C41">
        <w:rPr>
          <w:rFonts w:cstheme="minorHAnsi"/>
        </w:rPr>
        <w:t>ankarske usluge. Ostvareni su 113</w:t>
      </w:r>
      <w:r w:rsidRPr="003A0728">
        <w:rPr>
          <w:rFonts w:cstheme="minorHAnsi"/>
        </w:rPr>
        <w:t>% od plana.</w:t>
      </w:r>
    </w:p>
    <w:p w14:paraId="0CC93188" w14:textId="77777777" w:rsidR="00A75A22" w:rsidRPr="003A0728" w:rsidRDefault="00A75A22" w:rsidP="003A0728">
      <w:pPr>
        <w:spacing w:after="0"/>
        <w:jc w:val="both"/>
        <w:rPr>
          <w:rFonts w:cstheme="minorHAnsi"/>
          <w:b/>
        </w:rPr>
      </w:pPr>
    </w:p>
    <w:p w14:paraId="1B9D69EF" w14:textId="77777777" w:rsidR="007E15A4" w:rsidRPr="003A0728" w:rsidRDefault="00A13B58" w:rsidP="003A0728">
      <w:pPr>
        <w:spacing w:after="0"/>
        <w:jc w:val="both"/>
        <w:rPr>
          <w:rFonts w:cstheme="minorHAnsi"/>
          <w:b/>
        </w:rPr>
      </w:pPr>
      <w:r w:rsidRPr="003A0728">
        <w:rPr>
          <w:rFonts w:cstheme="minorHAnsi"/>
          <w:b/>
        </w:rPr>
        <w:t>Ostale naknade građanima i kućanstvima (kont</w:t>
      </w:r>
      <w:r w:rsidR="00E230B3" w:rsidRPr="003A0728">
        <w:rPr>
          <w:rFonts w:cstheme="minorHAnsi"/>
          <w:b/>
        </w:rPr>
        <w:t>a</w:t>
      </w:r>
      <w:r w:rsidRPr="003A0728">
        <w:rPr>
          <w:rFonts w:cstheme="minorHAnsi"/>
          <w:b/>
        </w:rPr>
        <w:t xml:space="preserve"> skupine 37)</w:t>
      </w:r>
      <w:r w:rsidR="00F86E9B" w:rsidRPr="003A0728">
        <w:rPr>
          <w:rFonts w:cstheme="minorHAnsi"/>
          <w:b/>
        </w:rPr>
        <w:t xml:space="preserve"> </w:t>
      </w:r>
    </w:p>
    <w:p w14:paraId="00F5A7A8" w14:textId="36F140A3" w:rsidR="00F86E9B" w:rsidRDefault="00F86E9B" w:rsidP="003A0728">
      <w:pPr>
        <w:spacing w:after="0"/>
        <w:jc w:val="both"/>
        <w:rPr>
          <w:rFonts w:cstheme="minorHAnsi"/>
        </w:rPr>
      </w:pPr>
      <w:r w:rsidRPr="003A0728">
        <w:rPr>
          <w:rFonts w:cstheme="minorHAnsi"/>
        </w:rPr>
        <w:t>Rash</w:t>
      </w:r>
      <w:r w:rsidR="0035608D" w:rsidRPr="003A0728">
        <w:rPr>
          <w:rFonts w:cstheme="minorHAnsi"/>
        </w:rPr>
        <w:t xml:space="preserve">odi su planirani za </w:t>
      </w:r>
      <w:r w:rsidRPr="003A0728">
        <w:rPr>
          <w:rFonts w:cstheme="minorHAnsi"/>
        </w:rPr>
        <w:t>nabavu radnih udžbenika i radnih bilježnica za učenike koje financira MZO</w:t>
      </w:r>
      <w:r w:rsidR="00A77B98">
        <w:rPr>
          <w:rFonts w:cstheme="minorHAnsi"/>
        </w:rPr>
        <w:t>M</w:t>
      </w:r>
      <w:r w:rsidRPr="003A0728">
        <w:rPr>
          <w:rFonts w:cstheme="minorHAnsi"/>
        </w:rPr>
        <w:t>.</w:t>
      </w:r>
      <w:r w:rsidR="00CD6B96">
        <w:rPr>
          <w:rFonts w:cstheme="minorHAnsi"/>
        </w:rPr>
        <w:t xml:space="preserve"> Ostvareni su 101% od plana. </w:t>
      </w:r>
    </w:p>
    <w:p w14:paraId="4C599630" w14:textId="77777777" w:rsidR="00A77B98" w:rsidRPr="003A0728" w:rsidRDefault="00A77B98" w:rsidP="003A0728">
      <w:pPr>
        <w:spacing w:after="0"/>
        <w:jc w:val="both"/>
        <w:rPr>
          <w:rFonts w:cstheme="minorHAnsi"/>
        </w:rPr>
      </w:pPr>
    </w:p>
    <w:p w14:paraId="1D7DEB53" w14:textId="19B7474A" w:rsidR="00A75A22" w:rsidRPr="003A0728" w:rsidRDefault="00A75A22" w:rsidP="003A0728">
      <w:pPr>
        <w:spacing w:after="0"/>
        <w:jc w:val="both"/>
        <w:rPr>
          <w:rFonts w:cstheme="minorHAnsi"/>
          <w:b/>
        </w:rPr>
      </w:pPr>
      <w:r w:rsidRPr="003A0728">
        <w:rPr>
          <w:rFonts w:cstheme="minorHAnsi"/>
          <w:b/>
        </w:rPr>
        <w:t>Ostali rashodi (konta skupine 38)</w:t>
      </w:r>
    </w:p>
    <w:p w14:paraId="27369D61" w14:textId="4F6E86F8" w:rsidR="00A75A22" w:rsidRPr="003A0728" w:rsidRDefault="00A75A22" w:rsidP="003A0728">
      <w:pPr>
        <w:spacing w:after="0"/>
        <w:jc w:val="both"/>
        <w:rPr>
          <w:rFonts w:cstheme="minorHAnsi"/>
        </w:rPr>
      </w:pPr>
      <w:r w:rsidRPr="003A0728">
        <w:rPr>
          <w:rFonts w:cstheme="minorHAnsi"/>
        </w:rPr>
        <w:t>Rashodi su za nabavu higijenskih potrepština za učenice škole financirano od Ministarstva.</w:t>
      </w:r>
    </w:p>
    <w:p w14:paraId="4BCA6F1D" w14:textId="0072CE64" w:rsidR="00A75A22" w:rsidRDefault="00A75A22" w:rsidP="003A0728">
      <w:pPr>
        <w:spacing w:after="0"/>
        <w:jc w:val="both"/>
        <w:rPr>
          <w:rFonts w:cstheme="minorHAnsi"/>
        </w:rPr>
      </w:pPr>
      <w:r w:rsidRPr="003A0728">
        <w:rPr>
          <w:rFonts w:cstheme="minorHAnsi"/>
        </w:rPr>
        <w:t>Ostvareni</w:t>
      </w:r>
      <w:r w:rsidR="00CD6B96">
        <w:rPr>
          <w:rFonts w:cstheme="minorHAnsi"/>
        </w:rPr>
        <w:t xml:space="preserve"> su 100</w:t>
      </w:r>
      <w:r w:rsidRPr="003A0728">
        <w:rPr>
          <w:rFonts w:cstheme="minorHAnsi"/>
        </w:rPr>
        <w:t>% od plana.</w:t>
      </w:r>
    </w:p>
    <w:p w14:paraId="6B94B4C6" w14:textId="77777777" w:rsidR="00A77B98" w:rsidRPr="003A0728" w:rsidRDefault="00A77B98" w:rsidP="003A0728">
      <w:pPr>
        <w:spacing w:after="0"/>
        <w:jc w:val="both"/>
        <w:rPr>
          <w:rFonts w:cstheme="minorHAnsi"/>
        </w:rPr>
      </w:pPr>
    </w:p>
    <w:p w14:paraId="4A8492C6" w14:textId="77E95794" w:rsidR="001E54E5" w:rsidRDefault="00F86E9B" w:rsidP="003A0728">
      <w:pPr>
        <w:spacing w:after="0"/>
        <w:jc w:val="both"/>
        <w:rPr>
          <w:rFonts w:cstheme="minorHAnsi"/>
        </w:rPr>
      </w:pPr>
      <w:r w:rsidRPr="003A0728">
        <w:rPr>
          <w:rFonts w:cstheme="minorHAnsi"/>
          <w:b/>
        </w:rPr>
        <w:t>Rashodi za nabavu dugotrajne imovine (konta skupine 42)</w:t>
      </w:r>
      <w:r w:rsidRPr="003A0728">
        <w:rPr>
          <w:rFonts w:cstheme="minorHAnsi"/>
        </w:rPr>
        <w:t xml:space="preserve"> financirani su uglavnom iz proračunskih sredstava za nabavu udžbenika i lektira, sredstva Općine</w:t>
      </w:r>
      <w:r w:rsidR="001E54E5">
        <w:rPr>
          <w:rFonts w:cstheme="minorHAnsi"/>
        </w:rPr>
        <w:t xml:space="preserve"> i Županije </w:t>
      </w:r>
      <w:r w:rsidRPr="003A0728">
        <w:rPr>
          <w:rFonts w:cstheme="minorHAnsi"/>
        </w:rPr>
        <w:t xml:space="preserve"> za nabavu </w:t>
      </w:r>
      <w:r w:rsidR="001E54E5">
        <w:rPr>
          <w:rFonts w:cstheme="minorHAnsi"/>
        </w:rPr>
        <w:t xml:space="preserve">računalne </w:t>
      </w:r>
      <w:r w:rsidRPr="003A0728">
        <w:rPr>
          <w:rFonts w:cstheme="minorHAnsi"/>
        </w:rPr>
        <w:t>opreme</w:t>
      </w:r>
      <w:r w:rsidR="001E54E5">
        <w:rPr>
          <w:rFonts w:cstheme="minorHAnsi"/>
        </w:rPr>
        <w:t xml:space="preserve"> i proširenje video nadzora</w:t>
      </w:r>
      <w:r w:rsidRPr="003A0728">
        <w:rPr>
          <w:rFonts w:cstheme="minorHAnsi"/>
        </w:rPr>
        <w:t>.</w:t>
      </w:r>
      <w:r w:rsidR="001E54E5">
        <w:rPr>
          <w:rFonts w:cstheme="minorHAnsi"/>
        </w:rPr>
        <w:t xml:space="preserve"> Rashodi su ostvareni 103% od plana.</w:t>
      </w:r>
    </w:p>
    <w:p w14:paraId="4DD1D2DC" w14:textId="77777777" w:rsidR="001E54E5" w:rsidRDefault="001E54E5" w:rsidP="003A0728">
      <w:pPr>
        <w:spacing w:after="0"/>
        <w:jc w:val="both"/>
        <w:rPr>
          <w:rFonts w:cstheme="minorHAnsi"/>
        </w:rPr>
      </w:pPr>
    </w:p>
    <w:p w14:paraId="059312C6" w14:textId="36AA0180" w:rsidR="001E54E5" w:rsidRPr="001E54E5" w:rsidRDefault="001E54E5" w:rsidP="003A0728">
      <w:pPr>
        <w:spacing w:after="0"/>
        <w:jc w:val="both"/>
        <w:rPr>
          <w:rFonts w:cstheme="minorHAnsi"/>
        </w:rPr>
      </w:pPr>
      <w:r w:rsidRPr="001E54E5">
        <w:rPr>
          <w:rFonts w:cstheme="minorHAnsi"/>
          <w:b/>
        </w:rPr>
        <w:t xml:space="preserve">Rashodi za dodatna ulaganja na nefinancijskoj imovini </w:t>
      </w:r>
      <w:r>
        <w:rPr>
          <w:rFonts w:cstheme="minorHAnsi"/>
          <w:b/>
        </w:rPr>
        <w:t xml:space="preserve">(konta skupine 45) </w:t>
      </w:r>
      <w:r>
        <w:rPr>
          <w:rFonts w:cstheme="minorHAnsi"/>
        </w:rPr>
        <w:t>rashodi su financirani iz županijskog proračuna općih prihoda i primitaka i odnose se na izmjenu idejnog projekta za rekonstrukciju i dogradnju škole.</w:t>
      </w:r>
    </w:p>
    <w:p w14:paraId="131A86A3" w14:textId="3308663D" w:rsidR="00A75A22" w:rsidRDefault="00F86E9B" w:rsidP="003A0728">
      <w:pPr>
        <w:spacing w:after="0"/>
        <w:jc w:val="both"/>
        <w:rPr>
          <w:rFonts w:cstheme="minorHAnsi"/>
        </w:rPr>
      </w:pPr>
      <w:r w:rsidRPr="003A0728">
        <w:rPr>
          <w:rFonts w:cstheme="minorHAnsi"/>
        </w:rPr>
        <w:t xml:space="preserve"> </w:t>
      </w:r>
    </w:p>
    <w:p w14:paraId="64470AB9" w14:textId="01406C63" w:rsidR="001E54E5" w:rsidRPr="001E54E5" w:rsidRDefault="001E54E5" w:rsidP="003A0728">
      <w:pPr>
        <w:spacing w:after="0"/>
        <w:jc w:val="both"/>
        <w:rPr>
          <w:rFonts w:cstheme="minorHAnsi"/>
        </w:rPr>
      </w:pPr>
      <w:r w:rsidRPr="001E54E5">
        <w:rPr>
          <w:rFonts w:cstheme="minorHAnsi"/>
          <w:b/>
        </w:rPr>
        <w:t>Manjak prihoda pokriven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preneseni je manjak koji je pokriven općim prihodima i primicima za</w:t>
      </w:r>
      <w:r w:rsidR="007D3D8B">
        <w:rPr>
          <w:rFonts w:cstheme="minorHAnsi"/>
        </w:rPr>
        <w:t xml:space="preserve"> rashode </w:t>
      </w:r>
      <w:r>
        <w:rPr>
          <w:rFonts w:cstheme="minorHAnsi"/>
        </w:rPr>
        <w:t xml:space="preserve"> građanski odgoj </w:t>
      </w:r>
      <w:r w:rsidR="007D3D8B">
        <w:rPr>
          <w:rFonts w:cstheme="minorHAnsi"/>
        </w:rPr>
        <w:t>i pomoćnika u nastavi</w:t>
      </w:r>
      <w:r>
        <w:rPr>
          <w:rFonts w:cstheme="minorHAnsi"/>
        </w:rPr>
        <w:t>, decentrali</w:t>
      </w:r>
      <w:r w:rsidR="007D3D8B">
        <w:rPr>
          <w:rFonts w:cstheme="minorHAnsi"/>
        </w:rPr>
        <w:t>ziranim sredstvima za energente i ostalim</w:t>
      </w:r>
      <w:r>
        <w:rPr>
          <w:rFonts w:cstheme="minorHAnsi"/>
        </w:rPr>
        <w:t xml:space="preserve"> pomoći</w:t>
      </w:r>
      <w:r w:rsidR="007D3D8B">
        <w:rPr>
          <w:rFonts w:cstheme="minorHAnsi"/>
        </w:rPr>
        <w:t>ma za troškove prehrane, pomoćnike u nastavi, materijalna prava i predškole. Većina prihoda odnosi se za rashode nastale u prosincu 2023.</w:t>
      </w:r>
    </w:p>
    <w:p w14:paraId="2BBD0860" w14:textId="77777777" w:rsidR="007579A9" w:rsidRDefault="007579A9" w:rsidP="007579A9">
      <w:pPr>
        <w:spacing w:after="0"/>
        <w:jc w:val="both"/>
        <w:rPr>
          <w:rFonts w:cstheme="minorHAnsi"/>
          <w:b/>
        </w:rPr>
      </w:pPr>
    </w:p>
    <w:p w14:paraId="640BD17A" w14:textId="77777777" w:rsidR="007579A9" w:rsidRDefault="007579A9" w:rsidP="007579A9">
      <w:pPr>
        <w:spacing w:after="0"/>
        <w:jc w:val="both"/>
        <w:rPr>
          <w:rFonts w:cstheme="minorHAnsi"/>
          <w:b/>
        </w:rPr>
      </w:pPr>
      <w:r w:rsidRPr="009C703B">
        <w:rPr>
          <w:rFonts w:cstheme="minorHAnsi"/>
          <w:b/>
        </w:rPr>
        <w:t>Stanje novčanih sredstava na računu</w:t>
      </w:r>
    </w:p>
    <w:p w14:paraId="3470330D" w14:textId="77777777" w:rsidR="007579A9" w:rsidRPr="007579A9" w:rsidRDefault="007579A9" w:rsidP="007579A9">
      <w:pPr>
        <w:jc w:val="both"/>
        <w:rPr>
          <w:rFonts w:cstheme="minorHAnsi"/>
          <w:b/>
        </w:rPr>
      </w:pPr>
      <w:r>
        <w:rPr>
          <w:rFonts w:cstheme="minorHAnsi"/>
        </w:rPr>
        <w:t>Na početku i na kraju promatranog razdoblja stanje novčanih sredstava na računu i blagajni škole bilo je kako slijedi:</w:t>
      </w:r>
    </w:p>
    <w:tbl>
      <w:tblPr>
        <w:tblStyle w:val="Reetkatablice"/>
        <w:tblW w:w="0" w:type="auto"/>
        <w:tblInd w:w="421" w:type="dxa"/>
        <w:tblLook w:val="04A0" w:firstRow="1" w:lastRow="0" w:firstColumn="1" w:lastColumn="0" w:noHBand="0" w:noVBand="1"/>
      </w:tblPr>
      <w:tblGrid>
        <w:gridCol w:w="792"/>
        <w:gridCol w:w="3827"/>
        <w:gridCol w:w="3402"/>
      </w:tblGrid>
      <w:tr w:rsidR="007579A9" w14:paraId="3E7D27EB" w14:textId="77777777" w:rsidTr="00815E9F">
        <w:tc>
          <w:tcPr>
            <w:tcW w:w="425" w:type="dxa"/>
          </w:tcPr>
          <w:p w14:paraId="4F634B9E" w14:textId="77777777" w:rsidR="007579A9" w:rsidRDefault="007579A9" w:rsidP="00815E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Valuta</w:t>
            </w:r>
          </w:p>
        </w:tc>
        <w:tc>
          <w:tcPr>
            <w:tcW w:w="3827" w:type="dxa"/>
          </w:tcPr>
          <w:p w14:paraId="2F58DAB2" w14:textId="77777777" w:rsidR="007579A9" w:rsidRDefault="007579A9" w:rsidP="00815E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Iznos sredstava na dan 1.1.2024.</w:t>
            </w:r>
          </w:p>
        </w:tc>
        <w:tc>
          <w:tcPr>
            <w:tcW w:w="3402" w:type="dxa"/>
          </w:tcPr>
          <w:p w14:paraId="7ECAA086" w14:textId="77777777" w:rsidR="007579A9" w:rsidRDefault="007579A9" w:rsidP="00815E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Iznos sredstava na dan 31.12.2024.</w:t>
            </w:r>
          </w:p>
        </w:tc>
      </w:tr>
      <w:tr w:rsidR="007579A9" w14:paraId="4DFA7EC6" w14:textId="77777777" w:rsidTr="00815E9F">
        <w:tc>
          <w:tcPr>
            <w:tcW w:w="425" w:type="dxa"/>
          </w:tcPr>
          <w:p w14:paraId="62714A4B" w14:textId="77777777" w:rsidR="007579A9" w:rsidRDefault="007579A9" w:rsidP="00815E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€</w:t>
            </w:r>
          </w:p>
        </w:tc>
        <w:tc>
          <w:tcPr>
            <w:tcW w:w="3827" w:type="dxa"/>
          </w:tcPr>
          <w:p w14:paraId="2F3C1CFA" w14:textId="77777777" w:rsidR="007579A9" w:rsidRDefault="007579A9" w:rsidP="00815E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9.928,66</w:t>
            </w:r>
          </w:p>
        </w:tc>
        <w:tc>
          <w:tcPr>
            <w:tcW w:w="3402" w:type="dxa"/>
          </w:tcPr>
          <w:p w14:paraId="303074B8" w14:textId="77777777" w:rsidR="007579A9" w:rsidRDefault="007579A9" w:rsidP="00815E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30.739,12</w:t>
            </w:r>
          </w:p>
        </w:tc>
      </w:tr>
    </w:tbl>
    <w:p w14:paraId="1DDE5A28" w14:textId="77777777" w:rsidR="007579A9" w:rsidRPr="009C703B" w:rsidRDefault="007579A9" w:rsidP="007579A9">
      <w:pPr>
        <w:jc w:val="both"/>
        <w:rPr>
          <w:rFonts w:cstheme="minorHAnsi"/>
        </w:rPr>
      </w:pPr>
    </w:p>
    <w:p w14:paraId="76357D68" w14:textId="77777777" w:rsidR="007579A9" w:rsidRPr="003A0728" w:rsidRDefault="007579A9" w:rsidP="007579A9">
      <w:p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Na početku izvještajnog razdoblja sredstva na računu su neutrošena sredstva po </w:t>
      </w:r>
      <w:proofErr w:type="spellStart"/>
      <w:r>
        <w:rPr>
          <w:rFonts w:cstheme="minorHAnsi"/>
        </w:rPr>
        <w:t>Erasmus</w:t>
      </w:r>
      <w:proofErr w:type="spellEnd"/>
      <w:r>
        <w:rPr>
          <w:rFonts w:cstheme="minorHAnsi"/>
        </w:rPr>
        <w:t xml:space="preserve"> + projektu te prihodi za pokrivanje materijalnih rashoda za 12. mjesec 2023. Na kraju izvještajnog razdoblja na računu su neutrošena sredstva po </w:t>
      </w:r>
      <w:proofErr w:type="spellStart"/>
      <w:r>
        <w:rPr>
          <w:rFonts w:cstheme="minorHAnsi"/>
        </w:rPr>
        <w:t>Erasmus</w:t>
      </w:r>
      <w:proofErr w:type="spellEnd"/>
      <w:r>
        <w:rPr>
          <w:rFonts w:cstheme="minorHAnsi"/>
        </w:rPr>
        <w:t xml:space="preserve"> + projektu (izvor 51 – EU), po 2 preventivna projekta, rashode za 12 mj. za produženi i </w:t>
      </w:r>
      <w:proofErr w:type="spellStart"/>
      <w:r>
        <w:rPr>
          <w:rFonts w:cstheme="minorHAnsi"/>
        </w:rPr>
        <w:t>predškolu</w:t>
      </w:r>
      <w:proofErr w:type="spellEnd"/>
      <w:r>
        <w:rPr>
          <w:rFonts w:cstheme="minorHAnsi"/>
        </w:rPr>
        <w:t xml:space="preserve">, sredstva za nadogradnju video nadzora (izvor 52 – MZOM i općina), neutrošena donacija i prihodi Županije (izvor 44 – decentralizirana sredstva) za rashode iz prosinca i nadogradnju video nadzora.  </w:t>
      </w:r>
    </w:p>
    <w:p w14:paraId="0DF716C8" w14:textId="77777777" w:rsidR="007579A9" w:rsidRDefault="007579A9" w:rsidP="007579A9">
      <w:pPr>
        <w:pStyle w:val="Odlomakpopisa"/>
        <w:ind w:left="1080"/>
        <w:jc w:val="both"/>
        <w:rPr>
          <w:rFonts w:cstheme="minorHAnsi"/>
          <w:b/>
        </w:rPr>
      </w:pPr>
    </w:p>
    <w:p w14:paraId="1D4998BD" w14:textId="2212A576" w:rsidR="00183426" w:rsidRPr="003A0728" w:rsidRDefault="00183426" w:rsidP="007579A9">
      <w:pPr>
        <w:pStyle w:val="Odlomakpopisa"/>
        <w:numPr>
          <w:ilvl w:val="0"/>
          <w:numId w:val="3"/>
        </w:numPr>
        <w:jc w:val="both"/>
        <w:rPr>
          <w:rFonts w:cstheme="minorHAnsi"/>
          <w:b/>
        </w:rPr>
      </w:pPr>
      <w:r w:rsidRPr="003A0728">
        <w:rPr>
          <w:rFonts w:cstheme="minorHAnsi"/>
          <w:b/>
        </w:rPr>
        <w:t>POSEBNI DIO</w:t>
      </w:r>
    </w:p>
    <w:p w14:paraId="2525D942" w14:textId="0AC18585" w:rsidR="00BE663F" w:rsidRPr="003A0728" w:rsidRDefault="00BE663F" w:rsidP="003A0728">
      <w:pPr>
        <w:jc w:val="both"/>
        <w:rPr>
          <w:rFonts w:cstheme="minorHAnsi"/>
        </w:rPr>
      </w:pPr>
      <w:r w:rsidRPr="003A0728">
        <w:rPr>
          <w:rFonts w:cstheme="minorHAnsi"/>
        </w:rPr>
        <w:t>Finan</w:t>
      </w:r>
      <w:r w:rsidR="00FB6859" w:rsidRPr="003A0728">
        <w:rPr>
          <w:rFonts w:cstheme="minorHAnsi"/>
        </w:rPr>
        <w:t>cijski</w:t>
      </w:r>
      <w:r w:rsidR="00A75A22" w:rsidRPr="003A0728">
        <w:rPr>
          <w:rFonts w:cstheme="minorHAnsi"/>
        </w:rPr>
        <w:t xml:space="preserve">m planom škole za </w:t>
      </w:r>
      <w:r w:rsidR="007579A9">
        <w:rPr>
          <w:rFonts w:cstheme="minorHAnsi"/>
        </w:rPr>
        <w:t>2024. godinu</w:t>
      </w:r>
      <w:r w:rsidR="00FB6859" w:rsidRPr="003A0728">
        <w:rPr>
          <w:rFonts w:cstheme="minorHAnsi"/>
        </w:rPr>
        <w:t xml:space="preserve"> planirana su sredstva za redovno poslovanje, za provedbu programa predškole i produženog boravka</w:t>
      </w:r>
      <w:r w:rsidR="0061116C">
        <w:rPr>
          <w:rFonts w:cstheme="minorHAnsi"/>
        </w:rPr>
        <w:t xml:space="preserve">, </w:t>
      </w:r>
      <w:r w:rsidR="00FB6859" w:rsidRPr="003A0728">
        <w:rPr>
          <w:rFonts w:cstheme="minorHAnsi"/>
        </w:rPr>
        <w:t xml:space="preserve"> provedbu EU projekata</w:t>
      </w:r>
      <w:r w:rsidR="0061116C">
        <w:rPr>
          <w:rFonts w:cstheme="minorHAnsi"/>
        </w:rPr>
        <w:t xml:space="preserve">, osiguranje pomoćnika u nastavi, </w:t>
      </w:r>
      <w:r w:rsidR="00FB6859" w:rsidRPr="003A0728">
        <w:rPr>
          <w:rFonts w:cstheme="minorHAnsi"/>
        </w:rPr>
        <w:t xml:space="preserve"> ko</w:t>
      </w:r>
      <w:r w:rsidR="00CA71FB" w:rsidRPr="003A0728">
        <w:rPr>
          <w:rFonts w:cstheme="minorHAnsi"/>
        </w:rPr>
        <w:t xml:space="preserve">ji se provode kroz sljedeće aktivnosti: </w:t>
      </w:r>
    </w:p>
    <w:p w14:paraId="380C8B66" w14:textId="77777777" w:rsidR="00CA71FB" w:rsidRPr="003A0728" w:rsidRDefault="00CA71FB" w:rsidP="007579A9">
      <w:pPr>
        <w:spacing w:after="0"/>
        <w:jc w:val="both"/>
        <w:rPr>
          <w:rFonts w:cstheme="minorHAnsi"/>
          <w:b/>
          <w:bCs/>
          <w:u w:val="single"/>
        </w:rPr>
      </w:pPr>
      <w:r w:rsidRPr="003A0728">
        <w:rPr>
          <w:rFonts w:cstheme="minorHAnsi"/>
          <w:b/>
          <w:bCs/>
          <w:u w:val="single"/>
        </w:rPr>
        <w:t>1013A1001301 – Osnovno školstvo</w:t>
      </w:r>
    </w:p>
    <w:p w14:paraId="544C9A66" w14:textId="39C7053C" w:rsidR="00CA71FB" w:rsidRPr="003A0728" w:rsidRDefault="00CA71FB" w:rsidP="003A0728">
      <w:pPr>
        <w:jc w:val="both"/>
        <w:rPr>
          <w:rFonts w:cstheme="minorHAnsi"/>
        </w:rPr>
      </w:pPr>
      <w:r w:rsidRPr="003A0728">
        <w:rPr>
          <w:rFonts w:cstheme="minorHAnsi"/>
        </w:rPr>
        <w:t>Aktivnost osnovno školstvo obuhvaća materijalne rashode (stručna usavršavanja, rashode za materijal i energiju, rashode za usluge, ostale nespomenute rashode poslovanja),</w:t>
      </w:r>
      <w:r w:rsidR="008C24EC" w:rsidRPr="003A0728">
        <w:rPr>
          <w:rFonts w:cstheme="minorHAnsi"/>
        </w:rPr>
        <w:t xml:space="preserve">  financijske rashode.</w:t>
      </w:r>
      <w:r w:rsidRPr="003A0728">
        <w:rPr>
          <w:rFonts w:cstheme="minorHAnsi"/>
        </w:rPr>
        <w:t xml:space="preserve"> Ukupno ostvareni rashodi </w:t>
      </w:r>
      <w:r w:rsidR="0061116C">
        <w:rPr>
          <w:rFonts w:cstheme="minorHAnsi"/>
        </w:rPr>
        <w:t xml:space="preserve">iznose </w:t>
      </w:r>
      <w:r w:rsidR="00645226">
        <w:rPr>
          <w:rFonts w:cstheme="minorHAnsi"/>
        </w:rPr>
        <w:t>117.362,72 € što je ostvarenje od 102</w:t>
      </w:r>
      <w:r w:rsidR="008C24EC" w:rsidRPr="003A0728">
        <w:rPr>
          <w:rFonts w:cstheme="minorHAnsi"/>
        </w:rPr>
        <w:t xml:space="preserve">% </w:t>
      </w:r>
      <w:r w:rsidRPr="003A0728">
        <w:rPr>
          <w:rFonts w:cstheme="minorHAnsi"/>
        </w:rPr>
        <w:t>p</w:t>
      </w:r>
      <w:r w:rsidR="00645226">
        <w:rPr>
          <w:rFonts w:cstheme="minorHAnsi"/>
        </w:rPr>
        <w:t>laniranih rashoda. Nema značajnijih odstupanja od plana</w:t>
      </w:r>
      <w:r w:rsidR="008C24EC" w:rsidRPr="003A0728">
        <w:rPr>
          <w:rFonts w:cstheme="minorHAnsi"/>
        </w:rPr>
        <w:t xml:space="preserve">. </w:t>
      </w:r>
      <w:r w:rsidR="00A53328" w:rsidRPr="003A0728">
        <w:rPr>
          <w:rFonts w:cstheme="minorHAnsi"/>
        </w:rPr>
        <w:t xml:space="preserve">Ova aktivnost pokriva se isključivo decentraliziranim sredstvima. </w:t>
      </w:r>
      <w:r w:rsidRPr="003A0728">
        <w:rPr>
          <w:rFonts w:cstheme="minorHAnsi"/>
        </w:rPr>
        <w:t xml:space="preserve"> </w:t>
      </w:r>
    </w:p>
    <w:p w14:paraId="48DF5D9C" w14:textId="77777777" w:rsidR="00A53328" w:rsidRPr="003A0728" w:rsidRDefault="00A53328" w:rsidP="007579A9">
      <w:pPr>
        <w:spacing w:after="0"/>
        <w:jc w:val="both"/>
        <w:rPr>
          <w:rFonts w:cstheme="minorHAnsi"/>
          <w:b/>
          <w:bCs/>
          <w:u w:val="single"/>
        </w:rPr>
      </w:pPr>
      <w:r w:rsidRPr="003A0728">
        <w:rPr>
          <w:rFonts w:cstheme="minorHAnsi"/>
          <w:b/>
          <w:bCs/>
          <w:u w:val="single"/>
        </w:rPr>
        <w:t>1013A1001304 – Natjecanja učenika</w:t>
      </w:r>
    </w:p>
    <w:p w14:paraId="6A206EDD" w14:textId="794A0DE4" w:rsidR="0048540D" w:rsidRPr="003A0728" w:rsidRDefault="00A53328" w:rsidP="003A0728">
      <w:pPr>
        <w:jc w:val="both"/>
        <w:rPr>
          <w:rFonts w:cstheme="minorHAnsi"/>
        </w:rPr>
      </w:pPr>
      <w:r w:rsidRPr="003A0728">
        <w:rPr>
          <w:rFonts w:cstheme="minorHAnsi"/>
        </w:rPr>
        <w:t>Planirano je i provedeno županijsko natjecanje iz matematik</w:t>
      </w:r>
      <w:r w:rsidR="008C24EC" w:rsidRPr="003A0728">
        <w:rPr>
          <w:rFonts w:cstheme="minorHAnsi"/>
        </w:rPr>
        <w:t>e. Rashod iznosi 1.040</w:t>
      </w:r>
      <w:r w:rsidRPr="003A0728">
        <w:rPr>
          <w:rFonts w:cstheme="minorHAnsi"/>
        </w:rPr>
        <w:t xml:space="preserve"> € </w:t>
      </w:r>
      <w:r w:rsidR="00645226">
        <w:rPr>
          <w:rFonts w:cstheme="minorHAnsi"/>
        </w:rPr>
        <w:t>što je ostvarenje od 100</w:t>
      </w:r>
      <w:r w:rsidR="008C24EC" w:rsidRPr="003A0728">
        <w:rPr>
          <w:rFonts w:cstheme="minorHAnsi"/>
        </w:rPr>
        <w:t xml:space="preserve">% planiranih rashoda. </w:t>
      </w:r>
      <w:r w:rsidRPr="003A0728">
        <w:rPr>
          <w:rFonts w:cstheme="minorHAnsi"/>
        </w:rPr>
        <w:t>Aktivnost se financira Općim prihodima i primicima Međimurske županije.</w:t>
      </w:r>
      <w:r w:rsidR="008A7BDB" w:rsidRPr="003A0728">
        <w:rPr>
          <w:rFonts w:cstheme="minorHAnsi"/>
        </w:rPr>
        <w:t xml:space="preserve"> Na natjecanju je sudjelovalo 100 učenika</w:t>
      </w:r>
      <w:r w:rsidR="000F52AA">
        <w:rPr>
          <w:rFonts w:cstheme="minorHAnsi"/>
        </w:rPr>
        <w:t>,</w:t>
      </w:r>
      <w:r w:rsidR="008A7BDB" w:rsidRPr="003A0728">
        <w:rPr>
          <w:rFonts w:cstheme="minorHAnsi"/>
        </w:rPr>
        <w:t xml:space="preserve"> kako je bilo i planirano.</w:t>
      </w:r>
    </w:p>
    <w:p w14:paraId="15E5DF5E" w14:textId="77777777" w:rsidR="00A53328" w:rsidRPr="003A0728" w:rsidRDefault="00A53328" w:rsidP="007579A9">
      <w:pPr>
        <w:spacing w:after="0"/>
        <w:jc w:val="both"/>
        <w:rPr>
          <w:rFonts w:cstheme="minorHAnsi"/>
          <w:b/>
          <w:bCs/>
          <w:u w:val="single"/>
        </w:rPr>
      </w:pPr>
      <w:r w:rsidRPr="003A0728">
        <w:rPr>
          <w:rFonts w:cstheme="minorHAnsi"/>
          <w:b/>
          <w:bCs/>
          <w:u w:val="single"/>
        </w:rPr>
        <w:t>1001T100117 – Projekt „Škole jednakih mogućnosti“ – osiguravanje pomoćnika učenicima s teškoćama u školama MŽ</w:t>
      </w:r>
    </w:p>
    <w:p w14:paraId="66AF1920" w14:textId="4B074031" w:rsidR="002A6645" w:rsidRDefault="00A53328" w:rsidP="003A0728">
      <w:pPr>
        <w:jc w:val="both"/>
        <w:rPr>
          <w:rFonts w:cstheme="minorHAnsi"/>
        </w:rPr>
      </w:pPr>
      <w:r w:rsidRPr="003A0728">
        <w:rPr>
          <w:rFonts w:cstheme="minorHAnsi"/>
        </w:rPr>
        <w:t xml:space="preserve">Planirano je zapošljavanje pomoćnika za učenike s teškoćama. Ukupni rashod za ovu aktivnost iznosi </w:t>
      </w:r>
      <w:r w:rsidR="00645226">
        <w:rPr>
          <w:rFonts w:cstheme="minorHAnsi"/>
        </w:rPr>
        <w:t>44.046,77 € što je 100</w:t>
      </w:r>
      <w:r w:rsidR="008C24EC" w:rsidRPr="003A0728">
        <w:rPr>
          <w:rFonts w:cstheme="minorHAnsi"/>
        </w:rPr>
        <w:t xml:space="preserve">% </w:t>
      </w:r>
      <w:r w:rsidRPr="003A0728">
        <w:rPr>
          <w:rFonts w:cstheme="minorHAnsi"/>
        </w:rPr>
        <w:t xml:space="preserve"> planiranog iznosa. </w:t>
      </w:r>
      <w:r w:rsidR="00645226">
        <w:rPr>
          <w:rFonts w:cstheme="minorHAnsi"/>
        </w:rPr>
        <w:t>Zaposleno je 4</w:t>
      </w:r>
      <w:r w:rsidR="006F5184" w:rsidRPr="003A0728">
        <w:rPr>
          <w:rFonts w:cstheme="minorHAnsi"/>
        </w:rPr>
        <w:t xml:space="preserve"> pomoćnika </w:t>
      </w:r>
      <w:r w:rsidR="00645226">
        <w:rPr>
          <w:rFonts w:cstheme="minorHAnsi"/>
        </w:rPr>
        <w:t>za 4</w:t>
      </w:r>
      <w:r w:rsidR="00AF22A7" w:rsidRPr="003A0728">
        <w:rPr>
          <w:rFonts w:cstheme="minorHAnsi"/>
        </w:rPr>
        <w:t xml:space="preserve"> učenika </w:t>
      </w:r>
      <w:r w:rsidR="006F5184" w:rsidRPr="003A0728">
        <w:rPr>
          <w:rFonts w:cstheme="minorHAnsi"/>
        </w:rPr>
        <w:t>kojima se isplaćuje plaća, materijalna prava i prijevoz na posao. Sredstva su osigurana 90%i iz europskih fondova</w:t>
      </w:r>
      <w:r w:rsidR="000F52AA">
        <w:rPr>
          <w:rFonts w:cstheme="minorHAnsi"/>
        </w:rPr>
        <w:t>,</w:t>
      </w:r>
      <w:r w:rsidR="006F5184" w:rsidRPr="003A0728">
        <w:rPr>
          <w:rFonts w:cstheme="minorHAnsi"/>
        </w:rPr>
        <w:t xml:space="preserve"> a 10% iz općih prihoda i primitaka Županije.</w:t>
      </w:r>
      <w:r w:rsidR="002E4542" w:rsidRPr="003A0728">
        <w:rPr>
          <w:rFonts w:cstheme="minorHAnsi"/>
        </w:rPr>
        <w:t xml:space="preserve"> </w:t>
      </w:r>
      <w:r w:rsidR="002E4542" w:rsidRPr="0088658A">
        <w:rPr>
          <w:rFonts w:cstheme="minorHAnsi"/>
        </w:rPr>
        <w:t xml:space="preserve">Kako bi osigurali čim veći broj </w:t>
      </w:r>
      <w:r w:rsidR="002E4542" w:rsidRPr="002A6645">
        <w:rPr>
          <w:rFonts w:cstheme="minorHAnsi"/>
        </w:rPr>
        <w:t>potrebnih pomoćnika</w:t>
      </w:r>
      <w:r w:rsidR="000F52AA" w:rsidRPr="002A6645">
        <w:rPr>
          <w:rFonts w:cstheme="minorHAnsi"/>
        </w:rPr>
        <w:t>,</w:t>
      </w:r>
      <w:r w:rsidR="002E4542" w:rsidRPr="002A6645">
        <w:rPr>
          <w:rFonts w:cstheme="minorHAnsi"/>
        </w:rPr>
        <w:t xml:space="preserve"> dio </w:t>
      </w:r>
      <w:r w:rsidR="00AF22A7" w:rsidRPr="002A6645">
        <w:rPr>
          <w:rFonts w:cstheme="minorHAnsi"/>
        </w:rPr>
        <w:t>njih zapošljava se preko Udruga</w:t>
      </w:r>
      <w:r w:rsidR="0088658A" w:rsidRPr="002A6645">
        <w:rPr>
          <w:rFonts w:cstheme="minorHAnsi"/>
        </w:rPr>
        <w:t xml:space="preserve"> za</w:t>
      </w:r>
      <w:r w:rsidR="002A6645" w:rsidRPr="002A6645">
        <w:rPr>
          <w:rFonts w:cstheme="minorHAnsi"/>
        </w:rPr>
        <w:t xml:space="preserve"> 3 učenika 2 asistenta, a za  1 učenika zaposlen je pomoćnik temeljem Sporazuma između Županije i Općine.</w:t>
      </w:r>
    </w:p>
    <w:p w14:paraId="7BF84003" w14:textId="15CAAC2F" w:rsidR="00B43E51" w:rsidRPr="003A0728" w:rsidRDefault="00B43E51" w:rsidP="007579A9">
      <w:pPr>
        <w:spacing w:after="0"/>
        <w:jc w:val="both"/>
        <w:rPr>
          <w:rFonts w:cstheme="minorHAnsi"/>
          <w:b/>
          <w:bCs/>
          <w:u w:val="single"/>
        </w:rPr>
      </w:pPr>
      <w:r w:rsidRPr="003A0728">
        <w:rPr>
          <w:rFonts w:cstheme="minorHAnsi"/>
          <w:b/>
          <w:bCs/>
          <w:u w:val="single"/>
        </w:rPr>
        <w:t xml:space="preserve">1013A101343 Uvođenje </w:t>
      </w:r>
      <w:r w:rsidR="00113A71" w:rsidRPr="003A0728">
        <w:rPr>
          <w:rFonts w:cstheme="minorHAnsi"/>
          <w:b/>
          <w:bCs/>
          <w:u w:val="single"/>
        </w:rPr>
        <w:t>G</w:t>
      </w:r>
      <w:r w:rsidRPr="003A0728">
        <w:rPr>
          <w:rFonts w:cstheme="minorHAnsi"/>
          <w:b/>
          <w:bCs/>
          <w:u w:val="single"/>
        </w:rPr>
        <w:t>rađanskog odgoja u školama</w:t>
      </w:r>
    </w:p>
    <w:p w14:paraId="3F214460" w14:textId="2677085E" w:rsidR="004241C7" w:rsidRDefault="002B03EA" w:rsidP="003A0728">
      <w:pPr>
        <w:jc w:val="both"/>
        <w:rPr>
          <w:rFonts w:cstheme="minorHAnsi"/>
        </w:rPr>
      </w:pPr>
      <w:r w:rsidRPr="003A0728">
        <w:rPr>
          <w:rFonts w:cstheme="minorHAnsi"/>
        </w:rPr>
        <w:t>Rashodi za ovu aktivnost pokrivaju se općim prihodima i primicima M</w:t>
      </w:r>
      <w:r w:rsidR="0088658A">
        <w:rPr>
          <w:rFonts w:cstheme="minorHAnsi"/>
        </w:rPr>
        <w:t>eđimurske županije,</w:t>
      </w:r>
      <w:r w:rsidR="00A02B9E">
        <w:rPr>
          <w:rFonts w:cstheme="minorHAnsi"/>
        </w:rPr>
        <w:t xml:space="preserve"> a ostvareni su u iznosu 980</w:t>
      </w:r>
      <w:r w:rsidR="00A578C3" w:rsidRPr="003A0728">
        <w:rPr>
          <w:rFonts w:cstheme="minorHAnsi"/>
        </w:rPr>
        <w:t>,00 €</w:t>
      </w:r>
      <w:r w:rsidR="0088658A">
        <w:rPr>
          <w:rFonts w:cstheme="minorHAnsi"/>
        </w:rPr>
        <w:t xml:space="preserve">, </w:t>
      </w:r>
      <w:r w:rsidR="00A02B9E">
        <w:rPr>
          <w:rFonts w:cstheme="minorHAnsi"/>
        </w:rPr>
        <w:t>što je 100</w:t>
      </w:r>
      <w:r w:rsidRPr="003A0728">
        <w:rPr>
          <w:rFonts w:cstheme="minorHAnsi"/>
        </w:rPr>
        <w:t>% planiranih rashoda za ovu aktivnost. Po ovoj aktivnos</w:t>
      </w:r>
      <w:r w:rsidR="00A02B9E">
        <w:rPr>
          <w:rFonts w:cstheme="minorHAnsi"/>
        </w:rPr>
        <w:t>ti isplaćuje se naknada učiteljici</w:t>
      </w:r>
      <w:r w:rsidRPr="003A0728">
        <w:rPr>
          <w:rFonts w:cstheme="minorHAnsi"/>
        </w:rPr>
        <w:t xml:space="preserve"> po održanom satu građanskog odgoja. </w:t>
      </w:r>
      <w:r w:rsidR="00A02B9E">
        <w:rPr>
          <w:rFonts w:cstheme="minorHAnsi"/>
        </w:rPr>
        <w:t>Cilj je bio uključiti 35</w:t>
      </w:r>
      <w:r w:rsidR="00AF22A7" w:rsidRPr="0088658A">
        <w:rPr>
          <w:rFonts w:cstheme="minorHAnsi"/>
        </w:rPr>
        <w:t xml:space="preserve"> </w:t>
      </w:r>
      <w:r w:rsidR="0088658A" w:rsidRPr="0088658A">
        <w:rPr>
          <w:rFonts w:cstheme="minorHAnsi"/>
        </w:rPr>
        <w:t xml:space="preserve">učenika </w:t>
      </w:r>
      <w:r w:rsidR="00A02B9E">
        <w:rPr>
          <w:rFonts w:cstheme="minorHAnsi"/>
        </w:rPr>
        <w:t xml:space="preserve">što nije ostvareno. U provođenju građanskog odgoja </w:t>
      </w:r>
      <w:r w:rsidR="00A02B9E" w:rsidRPr="002A6645">
        <w:rPr>
          <w:rFonts w:cstheme="minorHAnsi"/>
        </w:rPr>
        <w:t xml:space="preserve">ostalo je uključeno 16 učenika </w:t>
      </w:r>
      <w:r w:rsidR="00A02B9E">
        <w:rPr>
          <w:rFonts w:cstheme="minorHAnsi"/>
        </w:rPr>
        <w:t>kao i u prethodnom razdoblju.</w:t>
      </w:r>
      <w:r w:rsidR="00AF22A7" w:rsidRPr="0088658A">
        <w:rPr>
          <w:rFonts w:cstheme="minorHAnsi"/>
        </w:rPr>
        <w:t xml:space="preserve"> </w:t>
      </w:r>
    </w:p>
    <w:p w14:paraId="2903DC77" w14:textId="5B64595D" w:rsidR="0048540D" w:rsidRDefault="0048540D" w:rsidP="000E6FC0">
      <w:pPr>
        <w:spacing w:after="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T100103 Školski obroci svima</w:t>
      </w:r>
    </w:p>
    <w:p w14:paraId="0F701F10" w14:textId="55502C8F" w:rsidR="0048540D" w:rsidRPr="0048540D" w:rsidRDefault="0048540D" w:rsidP="003A0728">
      <w:pPr>
        <w:jc w:val="both"/>
        <w:rPr>
          <w:rFonts w:cstheme="minorHAnsi"/>
        </w:rPr>
      </w:pPr>
      <w:r>
        <w:rPr>
          <w:rFonts w:cstheme="minorHAnsi"/>
        </w:rPr>
        <w:t xml:space="preserve">Rashodi su financirani po finalnoj isplati  projekta iz šk. god. 2022./2023. Ostvareni su u iznosu 506,02 € što je 100% planiranih rashoda. </w:t>
      </w:r>
    </w:p>
    <w:p w14:paraId="5AFE3745" w14:textId="5B9869B9" w:rsidR="0059597E" w:rsidRDefault="0059597E" w:rsidP="000E6FC0">
      <w:pPr>
        <w:spacing w:after="0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1013A101319 Asistenti u nastavi</w:t>
      </w:r>
    </w:p>
    <w:p w14:paraId="183F9DE0" w14:textId="2DDF69EF" w:rsidR="0059597E" w:rsidRDefault="0059597E" w:rsidP="003A0728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Rashodi su pomoćnika u nastavi za učenike s teškoćama kojima EU projektom nije bio osiguran. Financira se iz Županijskog i općinskog proračuna u omjeru 50:50. Rashodi se odnose na jednog </w:t>
      </w:r>
      <w:r>
        <w:rPr>
          <w:rFonts w:cstheme="minorHAnsi"/>
          <w:bCs/>
        </w:rPr>
        <w:lastRenderedPageBreak/>
        <w:t>pomoćnika u nastavi za troškove plaće, materijalna prava i prijevoza na posao. Rashodi iznose 3.810,12 € što je  ostvarenje od 101% planiranih rashoda.</w:t>
      </w:r>
    </w:p>
    <w:p w14:paraId="6EEFB8F5" w14:textId="22F9E3D6" w:rsidR="0059597E" w:rsidRPr="00875EA7" w:rsidRDefault="0059597E" w:rsidP="007579A9">
      <w:pPr>
        <w:spacing w:after="0"/>
        <w:jc w:val="both"/>
        <w:rPr>
          <w:rFonts w:cstheme="minorHAnsi"/>
          <w:b/>
          <w:bCs/>
          <w:u w:val="single"/>
        </w:rPr>
      </w:pPr>
      <w:r w:rsidRPr="00875EA7">
        <w:rPr>
          <w:rFonts w:cstheme="minorHAnsi"/>
          <w:b/>
          <w:bCs/>
          <w:u w:val="single"/>
        </w:rPr>
        <w:t xml:space="preserve">1013A101344 Izgradnja, rekonstrukcija i opremanje osnovnih i srednjih škola (NPOO) </w:t>
      </w:r>
      <w:r w:rsidR="00875EA7" w:rsidRPr="00875EA7">
        <w:rPr>
          <w:rFonts w:cstheme="minorHAnsi"/>
          <w:b/>
          <w:bCs/>
          <w:u w:val="single"/>
        </w:rPr>
        <w:t>–</w:t>
      </w:r>
      <w:r w:rsidRPr="00875EA7">
        <w:rPr>
          <w:rFonts w:cstheme="minorHAnsi"/>
          <w:b/>
          <w:bCs/>
          <w:u w:val="single"/>
        </w:rPr>
        <w:t xml:space="preserve"> dokumentacija</w:t>
      </w:r>
    </w:p>
    <w:p w14:paraId="017887DD" w14:textId="56E7B690" w:rsidR="00875EA7" w:rsidRDefault="00875EA7" w:rsidP="003A0728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Ovom aktivnošću pokrivaju se troškovi za prijavu projektnog prijedloga rekonstrukcije i dogradnje škole na Poziv za dodjelu bespovratnih sredstava „Izgradnja, rekonstrukcija i opremanje osnovnih škola za potrebe </w:t>
      </w:r>
      <w:proofErr w:type="spellStart"/>
      <w:r>
        <w:rPr>
          <w:rFonts w:cstheme="minorHAnsi"/>
          <w:bCs/>
        </w:rPr>
        <w:t>jednosmjenskog</w:t>
      </w:r>
      <w:proofErr w:type="spellEnd"/>
      <w:r>
        <w:rPr>
          <w:rFonts w:cstheme="minorHAnsi"/>
          <w:bCs/>
        </w:rPr>
        <w:t xml:space="preserve"> rada i cjelodnevne škole“ . Rashodi su ostvareni u iznosu 2.998,85 što je ostvarenje 155% od planiranih rashoda. Planom nije bio predviđen dodatni trošak za postupak javne nabave projektne dokumentacije. </w:t>
      </w:r>
    </w:p>
    <w:p w14:paraId="3BFF9444" w14:textId="3898DC6A" w:rsidR="00875EA7" w:rsidRDefault="00875EA7" w:rsidP="007579A9">
      <w:pPr>
        <w:spacing w:after="0"/>
        <w:jc w:val="both"/>
        <w:rPr>
          <w:rFonts w:cstheme="minorHAnsi"/>
          <w:b/>
          <w:bCs/>
          <w:u w:val="single"/>
        </w:rPr>
      </w:pPr>
      <w:r w:rsidRPr="00875EA7">
        <w:rPr>
          <w:rFonts w:cstheme="minorHAnsi"/>
          <w:b/>
          <w:bCs/>
          <w:u w:val="single"/>
        </w:rPr>
        <w:t>K101301</w:t>
      </w:r>
      <w:r>
        <w:rPr>
          <w:rFonts w:cstheme="minorHAnsi"/>
          <w:b/>
          <w:bCs/>
          <w:u w:val="single"/>
        </w:rPr>
        <w:t xml:space="preserve"> Sufinanciranje obnove objekata u odgoju i obrazovanju</w:t>
      </w:r>
    </w:p>
    <w:p w14:paraId="659B28D5" w14:textId="26CEF73B" w:rsidR="0059597E" w:rsidRDefault="00875EA7" w:rsidP="00875EA7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Po ovoj aktivnosti nastao je trošak proširenja video nadzora u iznosu 3.431,88 € što je ostvarenje  99% od planiranih rashoda.</w:t>
      </w:r>
      <w:r w:rsidR="00FB4F46">
        <w:rPr>
          <w:rFonts w:cstheme="minorHAnsi"/>
          <w:bCs/>
        </w:rPr>
        <w:t xml:space="preserve"> Proširenjem</w:t>
      </w:r>
      <w:r w:rsidR="00C04783">
        <w:rPr>
          <w:rFonts w:cstheme="minorHAnsi"/>
          <w:bCs/>
        </w:rPr>
        <w:t xml:space="preserve"> videonadzora u matičnoj školi ugrađeno je dodatnih</w:t>
      </w:r>
      <w:r w:rsidR="00AF589F">
        <w:rPr>
          <w:rFonts w:cstheme="minorHAnsi"/>
          <w:bCs/>
        </w:rPr>
        <w:t xml:space="preserve"> 13 kamera.</w:t>
      </w:r>
      <w:r w:rsidR="00FB4F46">
        <w:rPr>
          <w:rFonts w:cstheme="minorHAnsi"/>
          <w:bCs/>
        </w:rPr>
        <w:t xml:space="preserve"> </w:t>
      </w:r>
    </w:p>
    <w:p w14:paraId="4903E0E3" w14:textId="77777777" w:rsidR="002B03EA" w:rsidRPr="003A0728" w:rsidRDefault="002B03EA" w:rsidP="007579A9">
      <w:pPr>
        <w:spacing w:after="0"/>
        <w:jc w:val="both"/>
        <w:rPr>
          <w:rFonts w:cstheme="minorHAnsi"/>
          <w:b/>
          <w:bCs/>
          <w:u w:val="single"/>
        </w:rPr>
      </w:pPr>
      <w:r w:rsidRPr="003A0728">
        <w:rPr>
          <w:rFonts w:cstheme="minorHAnsi"/>
          <w:b/>
          <w:bCs/>
          <w:u w:val="single"/>
        </w:rPr>
        <w:t xml:space="preserve">1013A101314 Ostali izdaci za osnovne škole </w:t>
      </w:r>
    </w:p>
    <w:p w14:paraId="34D732D7" w14:textId="78CACD50" w:rsidR="002B03EA" w:rsidRPr="003A0728" w:rsidRDefault="002B03EA" w:rsidP="007579A9">
      <w:pPr>
        <w:spacing w:after="0"/>
        <w:jc w:val="both"/>
        <w:rPr>
          <w:rFonts w:cstheme="minorHAnsi"/>
        </w:rPr>
      </w:pPr>
      <w:r w:rsidRPr="003A0728">
        <w:rPr>
          <w:rFonts w:cstheme="minorHAnsi"/>
        </w:rPr>
        <w:t xml:space="preserve">Rashodi po ovoj aktivnosti iznose </w:t>
      </w:r>
      <w:r w:rsidR="00FB4F46">
        <w:rPr>
          <w:rFonts w:cstheme="minorHAnsi"/>
        </w:rPr>
        <w:t>2.482.493,11 € i ostvareni su 100</w:t>
      </w:r>
      <w:r w:rsidR="000E31AF" w:rsidRPr="003A0728">
        <w:rPr>
          <w:rFonts w:cstheme="minorHAnsi"/>
        </w:rPr>
        <w:t xml:space="preserve">% u odnosu na planirane rashode. </w:t>
      </w:r>
    </w:p>
    <w:p w14:paraId="3EC63BCC" w14:textId="09DE0F74" w:rsidR="000E31AF" w:rsidRDefault="000E31AF" w:rsidP="003A0728">
      <w:pPr>
        <w:jc w:val="both"/>
        <w:rPr>
          <w:rFonts w:cstheme="minorHAnsi"/>
        </w:rPr>
      </w:pPr>
      <w:r w:rsidRPr="003A0728">
        <w:rPr>
          <w:rFonts w:cstheme="minorHAnsi"/>
        </w:rPr>
        <w:t>Ova aktivnost fina</w:t>
      </w:r>
      <w:r w:rsidR="00FF3ED4" w:rsidRPr="003A0728">
        <w:rPr>
          <w:rFonts w:cstheme="minorHAnsi"/>
        </w:rPr>
        <w:t>n</w:t>
      </w:r>
      <w:r w:rsidRPr="003A0728">
        <w:rPr>
          <w:rFonts w:cstheme="minorHAnsi"/>
        </w:rPr>
        <w:t>cira se iz najviše izvora</w:t>
      </w:r>
      <w:r w:rsidR="003450F6" w:rsidRPr="003A0728">
        <w:rPr>
          <w:rFonts w:cstheme="minorHAnsi"/>
        </w:rPr>
        <w:t xml:space="preserve">, </w:t>
      </w:r>
      <w:r w:rsidRPr="003A0728">
        <w:rPr>
          <w:rFonts w:cstheme="minorHAnsi"/>
        </w:rPr>
        <w:t>a to su: vlastiti prihodi (prihodi od najma dvorane</w:t>
      </w:r>
      <w:r w:rsidR="00FB4F46">
        <w:rPr>
          <w:rFonts w:cstheme="minorHAnsi"/>
        </w:rPr>
        <w:t>)</w:t>
      </w:r>
      <w:r w:rsidRPr="003A0728">
        <w:rPr>
          <w:rFonts w:cstheme="minorHAnsi"/>
        </w:rPr>
        <w:t>, prih</w:t>
      </w:r>
      <w:r w:rsidR="0019627F" w:rsidRPr="003A0728">
        <w:rPr>
          <w:rFonts w:cstheme="minorHAnsi"/>
        </w:rPr>
        <w:t>odi za posebne namjene (</w:t>
      </w:r>
      <w:r w:rsidRPr="003A0728">
        <w:rPr>
          <w:rFonts w:cstheme="minorHAnsi"/>
        </w:rPr>
        <w:t>uplate učenika za izvanučioničke aktivnosti</w:t>
      </w:r>
      <w:r w:rsidR="00FB4F46">
        <w:rPr>
          <w:rFonts w:cstheme="minorHAnsi"/>
        </w:rPr>
        <w:t xml:space="preserve"> i osiguranje učenika, uplate roditelja za sufinanciranje produženog boravka), </w:t>
      </w:r>
      <w:r w:rsidRPr="003A0728">
        <w:rPr>
          <w:rFonts w:cstheme="minorHAnsi"/>
        </w:rPr>
        <w:t xml:space="preserve"> pomoći EU (Erasmus projekti), ostale pomoći (MZO</w:t>
      </w:r>
      <w:r w:rsidR="0088658A">
        <w:rPr>
          <w:rFonts w:cstheme="minorHAnsi"/>
        </w:rPr>
        <w:t>M</w:t>
      </w:r>
      <w:r w:rsidRPr="003A0728">
        <w:rPr>
          <w:rFonts w:cstheme="minorHAnsi"/>
        </w:rPr>
        <w:t xml:space="preserve"> i O</w:t>
      </w:r>
      <w:r w:rsidR="0019627F" w:rsidRPr="003A0728">
        <w:rPr>
          <w:rFonts w:cstheme="minorHAnsi"/>
        </w:rPr>
        <w:t xml:space="preserve">pćina) </w:t>
      </w:r>
      <w:r w:rsidR="0088658A">
        <w:rPr>
          <w:rFonts w:cstheme="minorHAnsi"/>
        </w:rPr>
        <w:t>te</w:t>
      </w:r>
      <w:r w:rsidR="0019627F" w:rsidRPr="003A0728">
        <w:rPr>
          <w:rFonts w:cstheme="minorHAnsi"/>
        </w:rPr>
        <w:t xml:space="preserve"> donacije</w:t>
      </w:r>
      <w:r w:rsidR="0088658A">
        <w:rPr>
          <w:rFonts w:cstheme="minorHAnsi"/>
        </w:rPr>
        <w:t>.</w:t>
      </w:r>
      <w:r w:rsidRPr="003A0728">
        <w:rPr>
          <w:rFonts w:cstheme="minorHAnsi"/>
        </w:rPr>
        <w:t xml:space="preserve"> </w:t>
      </w:r>
      <w:r w:rsidR="00A438AB" w:rsidRPr="003A0728">
        <w:rPr>
          <w:rFonts w:cstheme="minorHAnsi"/>
        </w:rPr>
        <w:t>Najveći udio rashoda po ovoj aktivnosti čine rashodi</w:t>
      </w:r>
      <w:r w:rsidR="00CA2B5E" w:rsidRPr="003A0728">
        <w:rPr>
          <w:rFonts w:cstheme="minorHAnsi"/>
        </w:rPr>
        <w:t xml:space="preserve"> za plaće, materijalna prava, </w:t>
      </w:r>
      <w:r w:rsidR="00A438AB" w:rsidRPr="003A0728">
        <w:rPr>
          <w:rFonts w:cstheme="minorHAnsi"/>
        </w:rPr>
        <w:t>tr</w:t>
      </w:r>
      <w:r w:rsidR="00CA2B5E" w:rsidRPr="003A0728">
        <w:rPr>
          <w:rFonts w:cstheme="minorHAnsi"/>
        </w:rPr>
        <w:t>o</w:t>
      </w:r>
      <w:r w:rsidR="003918C2">
        <w:rPr>
          <w:rFonts w:cstheme="minorHAnsi"/>
        </w:rPr>
        <w:t xml:space="preserve">škove prijevoza na i s posla, </w:t>
      </w:r>
      <w:r w:rsidR="00CA2B5E" w:rsidRPr="003A0728">
        <w:rPr>
          <w:rFonts w:cstheme="minorHAnsi"/>
        </w:rPr>
        <w:t>nabava namirnica za prehranu učenika</w:t>
      </w:r>
      <w:r w:rsidR="003918C2">
        <w:rPr>
          <w:rFonts w:cstheme="minorHAnsi"/>
        </w:rPr>
        <w:t xml:space="preserve"> te nabava udžbenika i radnih bilježnica</w:t>
      </w:r>
      <w:r w:rsidR="00CA2B5E" w:rsidRPr="003A0728">
        <w:rPr>
          <w:rFonts w:cstheme="minorHAnsi"/>
        </w:rPr>
        <w:t>.</w:t>
      </w:r>
      <w:r w:rsidR="003918C2">
        <w:rPr>
          <w:rFonts w:cstheme="minorHAnsi"/>
        </w:rPr>
        <w:t xml:space="preserve"> Svi navedeni rashodi koji čine najveći udio financiraju se prihodima iz državnog proračuna.</w:t>
      </w:r>
      <w:r w:rsidR="00CA2B5E" w:rsidRPr="003A0728">
        <w:rPr>
          <w:rFonts w:cstheme="minorHAnsi"/>
        </w:rPr>
        <w:t xml:space="preserve"> </w:t>
      </w:r>
    </w:p>
    <w:p w14:paraId="21302F38" w14:textId="79D8559B" w:rsidR="00A12CB0" w:rsidRDefault="00A12CB0" w:rsidP="003A0728">
      <w:pPr>
        <w:jc w:val="both"/>
        <w:rPr>
          <w:rFonts w:cstheme="minorHAnsi"/>
        </w:rPr>
      </w:pPr>
      <w:r>
        <w:rPr>
          <w:rFonts w:cstheme="minorHAnsi"/>
        </w:rPr>
        <w:tab/>
      </w:r>
    </w:p>
    <w:p w14:paraId="50903E00" w14:textId="33D487B0" w:rsidR="00A12CB0" w:rsidRPr="00CB2556" w:rsidRDefault="00A12CB0" w:rsidP="00CB2556">
      <w:pPr>
        <w:pStyle w:val="Odlomakpopisa"/>
        <w:numPr>
          <w:ilvl w:val="0"/>
          <w:numId w:val="3"/>
        </w:numPr>
        <w:jc w:val="both"/>
        <w:rPr>
          <w:rFonts w:cstheme="minorHAnsi"/>
          <w:b/>
        </w:rPr>
      </w:pPr>
      <w:r w:rsidRPr="00CB2556">
        <w:rPr>
          <w:rFonts w:cstheme="minorHAnsi"/>
          <w:b/>
        </w:rPr>
        <w:t>Izvještaj o stanju potraživanja i dospjelih obveza te o stanju potencijalnih obveza po osnovi sudskih sporova</w:t>
      </w:r>
    </w:p>
    <w:p w14:paraId="02A241D6" w14:textId="45233693" w:rsidR="00CB2556" w:rsidRPr="001544A8" w:rsidRDefault="00CB2556" w:rsidP="00CB2556">
      <w:pPr>
        <w:jc w:val="both"/>
        <w:rPr>
          <w:rFonts w:ascii="Arial" w:hAnsi="Arial" w:cs="Arial"/>
          <w:sz w:val="20"/>
          <w:szCs w:val="20"/>
        </w:rPr>
      </w:pPr>
      <w:r w:rsidRPr="001544A8">
        <w:rPr>
          <w:rFonts w:ascii="Arial" w:hAnsi="Arial" w:cs="Arial"/>
          <w:b/>
          <w:sz w:val="20"/>
          <w:szCs w:val="20"/>
        </w:rPr>
        <w:t>Obveza na dan</w:t>
      </w:r>
      <w:r>
        <w:rPr>
          <w:rFonts w:ascii="Arial" w:hAnsi="Arial" w:cs="Arial"/>
          <w:b/>
          <w:sz w:val="20"/>
          <w:szCs w:val="20"/>
        </w:rPr>
        <w:t xml:space="preserve"> 31.12.2024.</w:t>
      </w:r>
      <w:r>
        <w:rPr>
          <w:rFonts w:ascii="Arial" w:hAnsi="Arial" w:cs="Arial"/>
          <w:sz w:val="20"/>
          <w:szCs w:val="20"/>
        </w:rPr>
        <w:t xml:space="preserve"> </w:t>
      </w:r>
      <w:r w:rsidRPr="001544A8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227.882,39</w:t>
      </w:r>
      <w:r w:rsidRPr="001544A8">
        <w:rPr>
          <w:rFonts w:ascii="Arial" w:hAnsi="Arial" w:cs="Arial"/>
          <w:sz w:val="20"/>
          <w:szCs w:val="20"/>
        </w:rPr>
        <w:t xml:space="preserve"> € (uključ</w:t>
      </w:r>
      <w:r>
        <w:rPr>
          <w:rFonts w:ascii="Arial" w:hAnsi="Arial" w:cs="Arial"/>
          <w:sz w:val="20"/>
          <w:szCs w:val="20"/>
        </w:rPr>
        <w:t>ene su obveze za plaće i materijalna prava za 12/2024 –  190.449,79</w:t>
      </w:r>
      <w:r w:rsidRPr="001544A8">
        <w:rPr>
          <w:rFonts w:ascii="Arial" w:hAnsi="Arial" w:cs="Arial"/>
          <w:sz w:val="20"/>
          <w:szCs w:val="20"/>
        </w:rPr>
        <w:t xml:space="preserve"> €;  obveze za  ma</w:t>
      </w:r>
      <w:r>
        <w:rPr>
          <w:rFonts w:ascii="Arial" w:hAnsi="Arial" w:cs="Arial"/>
          <w:sz w:val="20"/>
          <w:szCs w:val="20"/>
        </w:rPr>
        <w:t>terijalne rashodi – 25.924,00</w:t>
      </w:r>
      <w:r w:rsidRPr="001544A8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od toga 4.530,94</w:t>
      </w:r>
      <w:r w:rsidRPr="001544A8">
        <w:rPr>
          <w:rFonts w:ascii="Arial" w:hAnsi="Arial" w:cs="Arial"/>
          <w:sz w:val="20"/>
          <w:szCs w:val="20"/>
        </w:rPr>
        <w:t xml:space="preserve"> € prij</w:t>
      </w:r>
      <w:r>
        <w:rPr>
          <w:rFonts w:ascii="Arial" w:hAnsi="Arial" w:cs="Arial"/>
          <w:sz w:val="20"/>
          <w:szCs w:val="20"/>
        </w:rPr>
        <w:t>evoz na posao zaposlenika 12</w:t>
      </w:r>
      <w:r w:rsidRPr="001544A8">
        <w:rPr>
          <w:rFonts w:ascii="Arial" w:hAnsi="Arial" w:cs="Arial"/>
          <w:sz w:val="20"/>
          <w:szCs w:val="20"/>
        </w:rPr>
        <w:t>/2024)</w:t>
      </w:r>
      <w:r>
        <w:rPr>
          <w:rFonts w:ascii="Arial" w:hAnsi="Arial" w:cs="Arial"/>
          <w:sz w:val="20"/>
          <w:szCs w:val="20"/>
        </w:rPr>
        <w:t xml:space="preserve">, obveze za financijske rashode 127,67 eura; </w:t>
      </w:r>
      <w:r w:rsidR="00A01422">
        <w:rPr>
          <w:rFonts w:ascii="Arial" w:hAnsi="Arial" w:cs="Arial"/>
          <w:sz w:val="20"/>
          <w:szCs w:val="20"/>
        </w:rPr>
        <w:t xml:space="preserve">obveze za ostale naknade </w:t>
      </w:r>
      <w:proofErr w:type="spellStart"/>
      <w:r w:rsidR="00A01422">
        <w:rPr>
          <w:rFonts w:ascii="Arial" w:hAnsi="Arial" w:cs="Arial"/>
          <w:sz w:val="20"/>
          <w:szCs w:val="20"/>
        </w:rPr>
        <w:t>građ</w:t>
      </w:r>
      <w:proofErr w:type="spellEnd"/>
      <w:r w:rsidR="00A01422">
        <w:rPr>
          <w:rFonts w:ascii="Arial" w:hAnsi="Arial" w:cs="Arial"/>
          <w:sz w:val="20"/>
          <w:szCs w:val="20"/>
        </w:rPr>
        <w:t>. i</w:t>
      </w:r>
      <w:r>
        <w:rPr>
          <w:rFonts w:ascii="Arial" w:hAnsi="Arial" w:cs="Arial"/>
          <w:sz w:val="20"/>
          <w:szCs w:val="20"/>
        </w:rPr>
        <w:t xml:space="preserve"> kućanstvima  192,43 €;</w:t>
      </w:r>
      <w:r w:rsidRPr="001544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1544A8">
        <w:rPr>
          <w:rFonts w:ascii="Arial" w:hAnsi="Arial" w:cs="Arial"/>
          <w:sz w:val="20"/>
          <w:szCs w:val="20"/>
        </w:rPr>
        <w:t xml:space="preserve">ostale tekuće obveze (bolovanja, preplata naknade za invalide) </w:t>
      </w:r>
      <w:r>
        <w:rPr>
          <w:rFonts w:ascii="Arial" w:hAnsi="Arial" w:cs="Arial"/>
          <w:sz w:val="20"/>
          <w:szCs w:val="20"/>
        </w:rPr>
        <w:t xml:space="preserve">2.439,00 €; obveze za nabavu nefinancijske imovine 8.749,50 € i </w:t>
      </w:r>
    </w:p>
    <w:p w14:paraId="25C45735" w14:textId="77777777" w:rsidR="00CB2556" w:rsidRPr="001544A8" w:rsidRDefault="00CB2556" w:rsidP="00CB2556">
      <w:pPr>
        <w:jc w:val="both"/>
        <w:rPr>
          <w:rFonts w:ascii="Arial" w:hAnsi="Arial" w:cs="Arial"/>
          <w:sz w:val="20"/>
          <w:szCs w:val="20"/>
        </w:rPr>
      </w:pPr>
      <w:r w:rsidRPr="001544A8">
        <w:rPr>
          <w:rFonts w:ascii="Arial" w:hAnsi="Arial" w:cs="Arial"/>
          <w:b/>
          <w:sz w:val="20"/>
          <w:szCs w:val="20"/>
        </w:rPr>
        <w:t>Potraživanja na dan</w:t>
      </w:r>
      <w:r>
        <w:rPr>
          <w:rFonts w:ascii="Arial" w:hAnsi="Arial" w:cs="Arial"/>
          <w:sz w:val="20"/>
          <w:szCs w:val="20"/>
        </w:rPr>
        <w:t xml:space="preserve"> 31.12.2024. – 210.336,97</w:t>
      </w:r>
      <w:r w:rsidRPr="001544A8">
        <w:rPr>
          <w:rFonts w:ascii="Arial" w:hAnsi="Arial" w:cs="Arial"/>
          <w:sz w:val="20"/>
          <w:szCs w:val="20"/>
        </w:rPr>
        <w:t xml:space="preserve"> € – novac na žiro računu i blaga</w:t>
      </w:r>
      <w:r>
        <w:rPr>
          <w:rFonts w:ascii="Arial" w:hAnsi="Arial" w:cs="Arial"/>
          <w:sz w:val="20"/>
          <w:szCs w:val="20"/>
        </w:rPr>
        <w:t>jna 30.739,12</w:t>
      </w:r>
      <w:r w:rsidRPr="001544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€ , potraživanja za plaću 12/2024 – 176.823,65</w:t>
      </w:r>
      <w:r w:rsidRPr="001544A8">
        <w:rPr>
          <w:rFonts w:ascii="Arial" w:hAnsi="Arial" w:cs="Arial"/>
          <w:sz w:val="20"/>
          <w:szCs w:val="20"/>
        </w:rPr>
        <w:t xml:space="preserve"> €, za bolo</w:t>
      </w:r>
      <w:r>
        <w:rPr>
          <w:rFonts w:ascii="Arial" w:hAnsi="Arial" w:cs="Arial"/>
          <w:sz w:val="20"/>
          <w:szCs w:val="20"/>
        </w:rPr>
        <w:t xml:space="preserve">vanja i predujmove 1.989,20 </w:t>
      </w:r>
      <w:r w:rsidRPr="001544A8">
        <w:rPr>
          <w:rFonts w:ascii="Arial" w:hAnsi="Arial" w:cs="Arial"/>
          <w:sz w:val="20"/>
          <w:szCs w:val="20"/>
        </w:rPr>
        <w:t xml:space="preserve">€ Potraživanje za </w:t>
      </w:r>
      <w:r>
        <w:rPr>
          <w:rFonts w:ascii="Arial" w:hAnsi="Arial" w:cs="Arial"/>
          <w:sz w:val="20"/>
          <w:szCs w:val="20"/>
        </w:rPr>
        <w:t xml:space="preserve">produženi boravak 280,00 € i </w:t>
      </w:r>
      <w:r w:rsidRPr="001544A8">
        <w:rPr>
          <w:rFonts w:ascii="Arial" w:hAnsi="Arial" w:cs="Arial"/>
          <w:sz w:val="20"/>
          <w:szCs w:val="20"/>
        </w:rPr>
        <w:t>najam d</w:t>
      </w:r>
      <w:r>
        <w:rPr>
          <w:rFonts w:ascii="Arial" w:hAnsi="Arial" w:cs="Arial"/>
          <w:sz w:val="20"/>
          <w:szCs w:val="20"/>
        </w:rPr>
        <w:t>vorane 505</w:t>
      </w:r>
      <w:r w:rsidRPr="001544A8">
        <w:rPr>
          <w:rFonts w:ascii="Arial" w:hAnsi="Arial" w:cs="Arial"/>
          <w:sz w:val="20"/>
          <w:szCs w:val="20"/>
        </w:rPr>
        <w:t>,00 €.</w:t>
      </w:r>
    </w:p>
    <w:p w14:paraId="49F5F182" w14:textId="566E2FBE" w:rsidR="009C703B" w:rsidRDefault="00CB2556" w:rsidP="003A0728">
      <w:pPr>
        <w:jc w:val="both"/>
        <w:rPr>
          <w:rFonts w:cstheme="minorHAnsi"/>
        </w:rPr>
      </w:pPr>
      <w:r>
        <w:rPr>
          <w:rFonts w:cstheme="minorHAnsi"/>
        </w:rPr>
        <w:t xml:space="preserve">Škola nema nikakvih potencijalnih obveza po osnovi sudskih sporova </w:t>
      </w:r>
    </w:p>
    <w:p w14:paraId="469CAEC6" w14:textId="77777777" w:rsidR="00A438AB" w:rsidRPr="003A0728" w:rsidRDefault="00A438AB" w:rsidP="003A0728">
      <w:pPr>
        <w:jc w:val="both"/>
        <w:rPr>
          <w:rFonts w:cstheme="minorHAnsi"/>
        </w:rPr>
      </w:pPr>
    </w:p>
    <w:p w14:paraId="03E9BCD2" w14:textId="77777777" w:rsidR="002E4542" w:rsidRPr="003A0728" w:rsidRDefault="002B03EA" w:rsidP="003A0728">
      <w:pPr>
        <w:jc w:val="both"/>
        <w:rPr>
          <w:rFonts w:cstheme="minorHAnsi"/>
        </w:rPr>
      </w:pPr>
      <w:r w:rsidRPr="003A0728">
        <w:rPr>
          <w:rFonts w:cstheme="minorHAnsi"/>
        </w:rPr>
        <w:t xml:space="preserve"> </w:t>
      </w:r>
    </w:p>
    <w:p w14:paraId="68774DAA" w14:textId="77777777" w:rsidR="00D775C9" w:rsidRPr="003A0728" w:rsidRDefault="00D32020" w:rsidP="003A0728">
      <w:pPr>
        <w:ind w:left="7080" w:firstLine="708"/>
        <w:rPr>
          <w:rFonts w:cstheme="minorHAnsi"/>
        </w:rPr>
      </w:pPr>
      <w:r w:rsidRPr="003A0728">
        <w:rPr>
          <w:rFonts w:cstheme="minorHAnsi"/>
        </w:rPr>
        <w:t>Ravnateljica</w:t>
      </w:r>
    </w:p>
    <w:p w14:paraId="2E29CA92" w14:textId="72ADE3F0" w:rsidR="00D775C9" w:rsidRPr="003A0728" w:rsidRDefault="00D32020" w:rsidP="003A0728">
      <w:pPr>
        <w:jc w:val="right"/>
        <w:rPr>
          <w:rFonts w:cstheme="minorHAnsi"/>
        </w:rPr>
      </w:pPr>
      <w:bookmarkStart w:id="0" w:name="_GoBack"/>
      <w:bookmarkEnd w:id="0"/>
      <w:r w:rsidRPr="003A0728">
        <w:rPr>
          <w:rFonts w:cstheme="minorHAnsi"/>
        </w:rPr>
        <w:t>Že</w:t>
      </w:r>
      <w:r w:rsidR="00D775C9" w:rsidRPr="003A0728">
        <w:rPr>
          <w:rFonts w:cstheme="minorHAnsi"/>
        </w:rPr>
        <w:t>ljka Štampar Zamuda</w:t>
      </w:r>
    </w:p>
    <w:p w14:paraId="70CE3604" w14:textId="77777777" w:rsidR="007E15A4" w:rsidRPr="003A0728" w:rsidRDefault="007E15A4" w:rsidP="003A0728">
      <w:pPr>
        <w:jc w:val="both"/>
        <w:rPr>
          <w:rFonts w:cstheme="minorHAnsi"/>
        </w:rPr>
      </w:pPr>
    </w:p>
    <w:p w14:paraId="31FB314A" w14:textId="77777777" w:rsidR="004065F1" w:rsidRPr="003A0728" w:rsidRDefault="004065F1" w:rsidP="003A0728">
      <w:pPr>
        <w:jc w:val="both"/>
        <w:rPr>
          <w:rFonts w:cstheme="minorHAnsi"/>
        </w:rPr>
      </w:pPr>
    </w:p>
    <w:sectPr w:rsidR="004065F1" w:rsidRPr="003A0728" w:rsidSect="00695F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54D05" w14:textId="77777777" w:rsidR="00183A4B" w:rsidRDefault="00183A4B" w:rsidP="00872DD9">
      <w:pPr>
        <w:spacing w:after="0" w:line="240" w:lineRule="auto"/>
      </w:pPr>
      <w:r>
        <w:separator/>
      </w:r>
    </w:p>
  </w:endnote>
  <w:endnote w:type="continuationSeparator" w:id="0">
    <w:p w14:paraId="66ABC768" w14:textId="77777777" w:rsidR="00183A4B" w:rsidRDefault="00183A4B" w:rsidP="00872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07D22" w14:textId="77777777" w:rsidR="00872DD9" w:rsidRDefault="00872DD9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0021780"/>
      <w:docPartObj>
        <w:docPartGallery w:val="Page Numbers (Bottom of Page)"/>
        <w:docPartUnique/>
      </w:docPartObj>
    </w:sdtPr>
    <w:sdtEndPr/>
    <w:sdtContent>
      <w:p w14:paraId="6686C59C" w14:textId="77777777" w:rsidR="00872DD9" w:rsidRDefault="00872DD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422">
          <w:rPr>
            <w:noProof/>
          </w:rPr>
          <w:t>4</w:t>
        </w:r>
        <w:r>
          <w:fldChar w:fldCharType="end"/>
        </w:r>
      </w:p>
    </w:sdtContent>
  </w:sdt>
  <w:p w14:paraId="5B57E117" w14:textId="77777777" w:rsidR="00872DD9" w:rsidRDefault="00872DD9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573EA" w14:textId="77777777" w:rsidR="00872DD9" w:rsidRDefault="00872DD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DD5A9" w14:textId="77777777" w:rsidR="00183A4B" w:rsidRDefault="00183A4B" w:rsidP="00872DD9">
      <w:pPr>
        <w:spacing w:after="0" w:line="240" w:lineRule="auto"/>
      </w:pPr>
      <w:r>
        <w:separator/>
      </w:r>
    </w:p>
  </w:footnote>
  <w:footnote w:type="continuationSeparator" w:id="0">
    <w:p w14:paraId="06D91AB3" w14:textId="77777777" w:rsidR="00183A4B" w:rsidRDefault="00183A4B" w:rsidP="00872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B28E5" w14:textId="77777777" w:rsidR="00872DD9" w:rsidRDefault="00872DD9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648AD" w14:textId="77777777" w:rsidR="00872DD9" w:rsidRDefault="00872DD9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72E3D" w14:textId="77777777" w:rsidR="00872DD9" w:rsidRDefault="00872DD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3046"/>
    <w:multiLevelType w:val="hybridMultilevel"/>
    <w:tmpl w:val="33DA89D8"/>
    <w:lvl w:ilvl="0" w:tplc="EB42E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2389"/>
    <w:multiLevelType w:val="hybridMultilevel"/>
    <w:tmpl w:val="71344C5A"/>
    <w:lvl w:ilvl="0" w:tplc="E24ADBD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E4B01FC"/>
    <w:multiLevelType w:val="hybridMultilevel"/>
    <w:tmpl w:val="1C66F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21C51"/>
    <w:multiLevelType w:val="hybridMultilevel"/>
    <w:tmpl w:val="0AD051C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A6618"/>
    <w:multiLevelType w:val="hybridMultilevel"/>
    <w:tmpl w:val="0EDEE0A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6C"/>
    <w:rsid w:val="00015C06"/>
    <w:rsid w:val="000310AB"/>
    <w:rsid w:val="00037629"/>
    <w:rsid w:val="00044B23"/>
    <w:rsid w:val="00047252"/>
    <w:rsid w:val="0006583B"/>
    <w:rsid w:val="00071577"/>
    <w:rsid w:val="00083C14"/>
    <w:rsid w:val="0009071B"/>
    <w:rsid w:val="000948B9"/>
    <w:rsid w:val="000A03BF"/>
    <w:rsid w:val="000B6E4B"/>
    <w:rsid w:val="000C2F07"/>
    <w:rsid w:val="000C7BA8"/>
    <w:rsid w:val="000D6E80"/>
    <w:rsid w:val="000E1B01"/>
    <w:rsid w:val="000E31AF"/>
    <w:rsid w:val="000E6FC0"/>
    <w:rsid w:val="000F4D50"/>
    <w:rsid w:val="000F52AA"/>
    <w:rsid w:val="00113A71"/>
    <w:rsid w:val="00161EB9"/>
    <w:rsid w:val="00164F50"/>
    <w:rsid w:val="00183426"/>
    <w:rsid w:val="00183A4B"/>
    <w:rsid w:val="00195C29"/>
    <w:rsid w:val="0019627F"/>
    <w:rsid w:val="001A0439"/>
    <w:rsid w:val="001B0D35"/>
    <w:rsid w:val="001E54E5"/>
    <w:rsid w:val="00222417"/>
    <w:rsid w:val="00225F82"/>
    <w:rsid w:val="00233CA4"/>
    <w:rsid w:val="0025493A"/>
    <w:rsid w:val="002A6645"/>
    <w:rsid w:val="002B03EA"/>
    <w:rsid w:val="002C6CD8"/>
    <w:rsid w:val="002E4542"/>
    <w:rsid w:val="002E7E80"/>
    <w:rsid w:val="002F69DB"/>
    <w:rsid w:val="00300443"/>
    <w:rsid w:val="00312675"/>
    <w:rsid w:val="00322614"/>
    <w:rsid w:val="00327E60"/>
    <w:rsid w:val="0033594D"/>
    <w:rsid w:val="0034255B"/>
    <w:rsid w:val="003450F6"/>
    <w:rsid w:val="0035608D"/>
    <w:rsid w:val="00383872"/>
    <w:rsid w:val="003918C2"/>
    <w:rsid w:val="003A0728"/>
    <w:rsid w:val="003B5551"/>
    <w:rsid w:val="003C6AD8"/>
    <w:rsid w:val="003D0036"/>
    <w:rsid w:val="003D0B37"/>
    <w:rsid w:val="003E46E4"/>
    <w:rsid w:val="003F4622"/>
    <w:rsid w:val="003F7111"/>
    <w:rsid w:val="004065F1"/>
    <w:rsid w:val="00411903"/>
    <w:rsid w:val="0041496B"/>
    <w:rsid w:val="004241C7"/>
    <w:rsid w:val="00427FC8"/>
    <w:rsid w:val="00436467"/>
    <w:rsid w:val="0048540D"/>
    <w:rsid w:val="004B7F17"/>
    <w:rsid w:val="004D278F"/>
    <w:rsid w:val="004F1367"/>
    <w:rsid w:val="00520DB2"/>
    <w:rsid w:val="00532D7B"/>
    <w:rsid w:val="0053645A"/>
    <w:rsid w:val="00540CCB"/>
    <w:rsid w:val="00553F1E"/>
    <w:rsid w:val="00560209"/>
    <w:rsid w:val="00585F7D"/>
    <w:rsid w:val="0059597E"/>
    <w:rsid w:val="005A16B4"/>
    <w:rsid w:val="005C247A"/>
    <w:rsid w:val="005D3512"/>
    <w:rsid w:val="005F2814"/>
    <w:rsid w:val="006007BB"/>
    <w:rsid w:val="0061116C"/>
    <w:rsid w:val="00631D7E"/>
    <w:rsid w:val="00633AA9"/>
    <w:rsid w:val="00645226"/>
    <w:rsid w:val="006718FC"/>
    <w:rsid w:val="006817D1"/>
    <w:rsid w:val="00691E4A"/>
    <w:rsid w:val="00695F9B"/>
    <w:rsid w:val="006A5D94"/>
    <w:rsid w:val="006A705E"/>
    <w:rsid w:val="006B2C5F"/>
    <w:rsid w:val="006D0462"/>
    <w:rsid w:val="006F5184"/>
    <w:rsid w:val="007345DC"/>
    <w:rsid w:val="00737E60"/>
    <w:rsid w:val="007579A9"/>
    <w:rsid w:val="00764CBF"/>
    <w:rsid w:val="00773B22"/>
    <w:rsid w:val="0078321F"/>
    <w:rsid w:val="007A0C0E"/>
    <w:rsid w:val="007D17A0"/>
    <w:rsid w:val="007D3D8B"/>
    <w:rsid w:val="007D759E"/>
    <w:rsid w:val="007E15A4"/>
    <w:rsid w:val="007E4E2D"/>
    <w:rsid w:val="007F7420"/>
    <w:rsid w:val="008015BB"/>
    <w:rsid w:val="008254D6"/>
    <w:rsid w:val="00846333"/>
    <w:rsid w:val="00853547"/>
    <w:rsid w:val="0085756D"/>
    <w:rsid w:val="0086794A"/>
    <w:rsid w:val="00872DD9"/>
    <w:rsid w:val="00873EB5"/>
    <w:rsid w:val="00875EA7"/>
    <w:rsid w:val="0088658A"/>
    <w:rsid w:val="00894598"/>
    <w:rsid w:val="008A05A5"/>
    <w:rsid w:val="008A6C41"/>
    <w:rsid w:val="008A7BDB"/>
    <w:rsid w:val="008B1E18"/>
    <w:rsid w:val="008C24EC"/>
    <w:rsid w:val="008C3759"/>
    <w:rsid w:val="008C4A17"/>
    <w:rsid w:val="009052BC"/>
    <w:rsid w:val="009177CC"/>
    <w:rsid w:val="00977B3D"/>
    <w:rsid w:val="009C26A7"/>
    <w:rsid w:val="009C703B"/>
    <w:rsid w:val="00A01422"/>
    <w:rsid w:val="00A02B9E"/>
    <w:rsid w:val="00A0757D"/>
    <w:rsid w:val="00A12CB0"/>
    <w:rsid w:val="00A13B58"/>
    <w:rsid w:val="00A434EC"/>
    <w:rsid w:val="00A438AB"/>
    <w:rsid w:val="00A53328"/>
    <w:rsid w:val="00A578C3"/>
    <w:rsid w:val="00A72DC1"/>
    <w:rsid w:val="00A75A22"/>
    <w:rsid w:val="00A77B98"/>
    <w:rsid w:val="00AC3351"/>
    <w:rsid w:val="00AD52B8"/>
    <w:rsid w:val="00AE0EB3"/>
    <w:rsid w:val="00AF22A7"/>
    <w:rsid w:val="00AF589F"/>
    <w:rsid w:val="00B00134"/>
    <w:rsid w:val="00B07E27"/>
    <w:rsid w:val="00B27009"/>
    <w:rsid w:val="00B424A2"/>
    <w:rsid w:val="00B43E51"/>
    <w:rsid w:val="00B74269"/>
    <w:rsid w:val="00B74451"/>
    <w:rsid w:val="00BB2010"/>
    <w:rsid w:val="00BB2EC5"/>
    <w:rsid w:val="00BB6490"/>
    <w:rsid w:val="00BD3F4A"/>
    <w:rsid w:val="00BE663F"/>
    <w:rsid w:val="00C04783"/>
    <w:rsid w:val="00C37D7D"/>
    <w:rsid w:val="00C5508B"/>
    <w:rsid w:val="00C72B77"/>
    <w:rsid w:val="00C934D3"/>
    <w:rsid w:val="00CA1039"/>
    <w:rsid w:val="00CA2B5E"/>
    <w:rsid w:val="00CA71FB"/>
    <w:rsid w:val="00CB2556"/>
    <w:rsid w:val="00CD5177"/>
    <w:rsid w:val="00CD6B96"/>
    <w:rsid w:val="00CE38AB"/>
    <w:rsid w:val="00CE50A9"/>
    <w:rsid w:val="00CF5873"/>
    <w:rsid w:val="00D06F53"/>
    <w:rsid w:val="00D17840"/>
    <w:rsid w:val="00D26DDF"/>
    <w:rsid w:val="00D32020"/>
    <w:rsid w:val="00D47245"/>
    <w:rsid w:val="00D66F8E"/>
    <w:rsid w:val="00D757C3"/>
    <w:rsid w:val="00D775C9"/>
    <w:rsid w:val="00DB6D75"/>
    <w:rsid w:val="00DD6757"/>
    <w:rsid w:val="00DE2212"/>
    <w:rsid w:val="00E230B3"/>
    <w:rsid w:val="00E476B2"/>
    <w:rsid w:val="00E72F31"/>
    <w:rsid w:val="00E87D86"/>
    <w:rsid w:val="00EA0293"/>
    <w:rsid w:val="00EC21B2"/>
    <w:rsid w:val="00ED6BA6"/>
    <w:rsid w:val="00EE3B6C"/>
    <w:rsid w:val="00EF2BE8"/>
    <w:rsid w:val="00EF6415"/>
    <w:rsid w:val="00F158B1"/>
    <w:rsid w:val="00F2430F"/>
    <w:rsid w:val="00F2752D"/>
    <w:rsid w:val="00F52EEC"/>
    <w:rsid w:val="00F6379D"/>
    <w:rsid w:val="00F86E9B"/>
    <w:rsid w:val="00F9542E"/>
    <w:rsid w:val="00FA69E8"/>
    <w:rsid w:val="00FB295A"/>
    <w:rsid w:val="00FB4F46"/>
    <w:rsid w:val="00FB6859"/>
    <w:rsid w:val="00FD2FBD"/>
    <w:rsid w:val="00FD7A1A"/>
    <w:rsid w:val="00FF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5833D"/>
  <w15:chartTrackingRefBased/>
  <w15:docId w15:val="{FDB5A612-73EE-484D-8D61-7D613BBF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614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22614"/>
    <w:pPr>
      <w:ind w:left="720"/>
      <w:contextualSpacing/>
    </w:pPr>
  </w:style>
  <w:style w:type="paragraph" w:styleId="Bezproreda">
    <w:name w:val="No Spacing"/>
    <w:uiPriority w:val="1"/>
    <w:qFormat/>
    <w:rsid w:val="00D26DDF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72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2DD9"/>
  </w:style>
  <w:style w:type="paragraph" w:styleId="Podnoje">
    <w:name w:val="footer"/>
    <w:basedOn w:val="Normal"/>
    <w:link w:val="PodnojeChar"/>
    <w:uiPriority w:val="99"/>
    <w:unhideWhenUsed/>
    <w:rsid w:val="00872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2DD9"/>
  </w:style>
  <w:style w:type="table" w:styleId="Reetkatablice">
    <w:name w:val="Table Grid"/>
    <w:basedOn w:val="Obinatablica"/>
    <w:uiPriority w:val="39"/>
    <w:rsid w:val="00D17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3450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104CF-302F-4D6D-A23E-0A05CEA0A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2333</Words>
  <Characters>13302</Characters>
  <Application>Microsoft Office Word</Application>
  <DocSecurity>0</DocSecurity>
  <Lines>110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10</cp:revision>
  <dcterms:created xsi:type="dcterms:W3CDTF">2025-03-16T22:30:00Z</dcterms:created>
  <dcterms:modified xsi:type="dcterms:W3CDTF">2025-03-28T14:40:00Z</dcterms:modified>
</cp:coreProperties>
</file>